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F70A2" w14:textId="31848427" w:rsidR="00D07A6D" w:rsidRDefault="00B42757" w:rsidP="00B42757">
      <w:pPr>
        <w:pStyle w:val="Heading1"/>
        <w:jc w:val="center"/>
      </w:pPr>
      <w:bookmarkStart w:id="0" w:name="_Toc79718614"/>
      <w:r>
        <w:rPr>
          <w:noProof/>
        </w:rPr>
        <w:drawing>
          <wp:inline distT="0" distB="0" distL="0" distR="0" wp14:anchorId="43CE9C1E" wp14:editId="6847FD78">
            <wp:extent cx="3990975" cy="866775"/>
            <wp:effectExtent l="0" t="0" r="9525" b="9525"/>
            <wp:docPr id="1" name="Picture 1" descr="A close-up of a logo&#10;&#10;Description automatically generated">
              <a:extLst xmlns:a="http://schemas.openxmlformats.org/drawingml/2006/main">
                <a:ext uri="{FF2B5EF4-FFF2-40B4-BE49-F238E27FC236}">
                  <a16:creationId xmlns:a16="http://schemas.microsoft.com/office/drawing/2014/main" id="{DAF9B357-34A8-4492-8FBB-8B706C5104E7}"/>
                </a:ext>
              </a:extLst>
            </wp:docPr>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a:extLst>
                        <a:ext uri="{FF2B5EF4-FFF2-40B4-BE49-F238E27FC236}">
                          <a16:creationId xmlns:a16="http://schemas.microsoft.com/office/drawing/2014/main" id="{DAF9B357-34A8-4492-8FBB-8B706C5104E7}"/>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3990975" cy="866775"/>
                    </a:xfrm>
                    <a:prstGeom prst="rect">
                      <a:avLst/>
                    </a:prstGeom>
                  </pic:spPr>
                </pic:pic>
              </a:graphicData>
            </a:graphic>
          </wp:inline>
        </w:drawing>
      </w:r>
    </w:p>
    <w:p w14:paraId="7207C6B6" w14:textId="77777777" w:rsidR="00B42757" w:rsidRDefault="00B42757" w:rsidP="00D07A6D">
      <w:pPr>
        <w:pStyle w:val="Heading1"/>
      </w:pPr>
    </w:p>
    <w:p w14:paraId="469FC927" w14:textId="07A2223A" w:rsidR="000F72C7" w:rsidRPr="00D07A6D" w:rsidRDefault="000F72C7" w:rsidP="00D07A6D">
      <w:pPr>
        <w:pStyle w:val="Heading1"/>
      </w:pPr>
      <w:r w:rsidRPr="00D07A6D">
        <w:t xml:space="preserve">STONZ and </w:t>
      </w:r>
      <w:r w:rsidR="0086386F">
        <w:t xml:space="preserve">Health NZ </w:t>
      </w:r>
      <w:r w:rsidRPr="00D07A6D">
        <w:t>– Psychiatry Registrar National Orientation Template</w:t>
      </w:r>
    </w:p>
    <w:p w14:paraId="1B11C2E6" w14:textId="77777777" w:rsidR="000F72C7" w:rsidRDefault="000F72C7" w:rsidP="002F4380">
      <w:pPr>
        <w:pStyle w:val="Heading3"/>
        <w:rPr>
          <w:color w:val="auto"/>
        </w:rPr>
      </w:pPr>
    </w:p>
    <w:p w14:paraId="77BECF90" w14:textId="55FFDD58" w:rsidR="000F393A" w:rsidRPr="00D25D77" w:rsidRDefault="000F393A" w:rsidP="002F4380">
      <w:pPr>
        <w:pStyle w:val="Heading3"/>
        <w:rPr>
          <w:color w:val="auto"/>
        </w:rPr>
      </w:pPr>
      <w:r w:rsidRPr="00D25D77">
        <w:rPr>
          <w:color w:val="auto"/>
        </w:rPr>
        <w:t>Overview</w:t>
      </w:r>
      <w:bookmarkEnd w:id="0"/>
      <w:r w:rsidRPr="00D25D77">
        <w:rPr>
          <w:color w:val="auto"/>
        </w:rPr>
        <w:t xml:space="preserve"> </w:t>
      </w:r>
    </w:p>
    <w:p w14:paraId="6E2DB36E" w14:textId="442DA887" w:rsidR="00CD5039" w:rsidRDefault="00CD5039" w:rsidP="002F4380">
      <w:pPr>
        <w:pStyle w:val="BodyText"/>
        <w:spacing w:before="103"/>
        <w:ind w:right="38"/>
      </w:pPr>
      <w:r>
        <w:t>Due to the nature and location of work for Psychi</w:t>
      </w:r>
      <w:r w:rsidR="00812824">
        <w:t>a</w:t>
      </w:r>
      <w:r>
        <w:t xml:space="preserve">try Registrars there are specific challenges that </w:t>
      </w:r>
      <w:r w:rsidR="00812824">
        <w:t>can impact</w:t>
      </w:r>
      <w:r>
        <w:t xml:space="preserve"> this workfo</w:t>
      </w:r>
      <w:r w:rsidR="00812824">
        <w:t>r</w:t>
      </w:r>
      <w:r>
        <w:t xml:space="preserve">ce. </w:t>
      </w:r>
      <w:r w:rsidR="005D4EEC">
        <w:t xml:space="preserve">A project was completed jointly by STONZ and </w:t>
      </w:r>
      <w:r w:rsidR="0086386F">
        <w:t>Health NZ</w:t>
      </w:r>
      <w:r w:rsidR="005D4EEC">
        <w:t xml:space="preserve"> to</w:t>
      </w:r>
      <w:r>
        <w:t xml:space="preserve"> better understand these challenges and</w:t>
      </w:r>
      <w:r w:rsidR="00535F5E">
        <w:t xml:space="preserve"> develop recom</w:t>
      </w:r>
      <w:r w:rsidR="00812824">
        <w:t>m</w:t>
      </w:r>
      <w:r w:rsidR="00535F5E">
        <w:t xml:space="preserve">endations including </w:t>
      </w:r>
      <w:r>
        <w:t>mitigations that could be put in place</w:t>
      </w:r>
      <w:r w:rsidR="002F4380">
        <w:t>.</w:t>
      </w:r>
    </w:p>
    <w:p w14:paraId="6A49875B" w14:textId="77777777" w:rsidR="00CD5039" w:rsidRDefault="00CD5039" w:rsidP="002F4380">
      <w:pPr>
        <w:pStyle w:val="BodyText"/>
        <w:spacing w:before="103"/>
        <w:ind w:right="38"/>
      </w:pPr>
    </w:p>
    <w:p w14:paraId="5D229499" w14:textId="6E78844F" w:rsidR="0022438D" w:rsidRDefault="00D25D77" w:rsidP="002F4380">
      <w:pPr>
        <w:pStyle w:val="BodyText"/>
        <w:spacing w:before="103"/>
        <w:ind w:right="38"/>
      </w:pPr>
      <w:r>
        <w:t xml:space="preserve">One </w:t>
      </w:r>
      <w:r w:rsidR="00CD5039">
        <w:t xml:space="preserve">of the challenges identified by </w:t>
      </w:r>
      <w:r w:rsidR="001A58E2">
        <w:t xml:space="preserve">Psychiatry </w:t>
      </w:r>
      <w:r w:rsidR="00CD5039">
        <w:t xml:space="preserve">Registrars and </w:t>
      </w:r>
      <w:r w:rsidR="00812824">
        <w:t>service</w:t>
      </w:r>
      <w:r w:rsidR="001A58E2">
        <w:t xml:space="preserve"> leads</w:t>
      </w:r>
      <w:r w:rsidR="00CD5039">
        <w:t xml:space="preserve"> </w:t>
      </w:r>
      <w:r w:rsidR="00812824">
        <w:t>nationally</w:t>
      </w:r>
      <w:r w:rsidR="00CD5039">
        <w:t xml:space="preserve"> includes the lack of clarity regarding processes and entitlements. </w:t>
      </w:r>
      <w:r w:rsidR="001A58E2">
        <w:t>The</w:t>
      </w:r>
      <w:r w:rsidR="002F4380">
        <w:t xml:space="preserve"> STONZ National Engagement Forum (</w:t>
      </w:r>
      <w:r w:rsidR="00CD5039">
        <w:t>SNEF</w:t>
      </w:r>
      <w:r w:rsidR="002F4380">
        <w:t>)</w:t>
      </w:r>
      <w:r w:rsidR="00CD5039">
        <w:t xml:space="preserve"> </w:t>
      </w:r>
      <w:r w:rsidR="00812824">
        <w:t>included</w:t>
      </w:r>
      <w:r w:rsidR="00CD5039">
        <w:t xml:space="preserve"> the development of a National orientation template for </w:t>
      </w:r>
      <w:r w:rsidR="0022438D">
        <w:t xml:space="preserve">Mental </w:t>
      </w:r>
      <w:r w:rsidR="00812824">
        <w:t>Health</w:t>
      </w:r>
      <w:r w:rsidR="0022438D">
        <w:t xml:space="preserve"> services </w:t>
      </w:r>
      <w:r w:rsidR="00CD5039">
        <w:t>to ensure Registrars are provided with re</w:t>
      </w:r>
      <w:r w:rsidR="002F4380">
        <w:t>quired</w:t>
      </w:r>
      <w:r w:rsidR="00CD5039">
        <w:t xml:space="preserve"> </w:t>
      </w:r>
      <w:r w:rsidR="00F34259">
        <w:t xml:space="preserve">and relevant </w:t>
      </w:r>
      <w:r w:rsidR="00CD5039">
        <w:t xml:space="preserve">information when joining </w:t>
      </w:r>
      <w:r w:rsidR="00F34259">
        <w:t>a</w:t>
      </w:r>
      <w:r w:rsidR="00CD5039">
        <w:t xml:space="preserve"> </w:t>
      </w:r>
      <w:r w:rsidR="0022438D">
        <w:t xml:space="preserve">Mental Health service. </w:t>
      </w:r>
    </w:p>
    <w:p w14:paraId="12AB90AB" w14:textId="77777777" w:rsidR="0022438D" w:rsidRDefault="0022438D" w:rsidP="002F4380">
      <w:pPr>
        <w:pStyle w:val="BodyText"/>
        <w:spacing w:before="103"/>
        <w:ind w:right="38"/>
      </w:pPr>
    </w:p>
    <w:p w14:paraId="5AD9B6DA" w14:textId="77777777" w:rsidR="0022438D" w:rsidRPr="006000FC" w:rsidRDefault="002F4380" w:rsidP="002F4380">
      <w:pPr>
        <w:pStyle w:val="BodyText"/>
        <w:spacing w:before="103"/>
        <w:ind w:right="38"/>
        <w:rPr>
          <w:b/>
        </w:rPr>
      </w:pPr>
      <w:r w:rsidRPr="006000FC">
        <w:rPr>
          <w:b/>
        </w:rPr>
        <w:t xml:space="preserve">It is recommended </w:t>
      </w:r>
      <w:r w:rsidR="0022438D" w:rsidRPr="006000FC">
        <w:rPr>
          <w:b/>
        </w:rPr>
        <w:t>that:</w:t>
      </w:r>
    </w:p>
    <w:p w14:paraId="6D48B504" w14:textId="77777777" w:rsidR="0022438D" w:rsidRDefault="0022438D" w:rsidP="008D2983">
      <w:pPr>
        <w:pStyle w:val="BodyText"/>
        <w:numPr>
          <w:ilvl w:val="0"/>
          <w:numId w:val="4"/>
        </w:numPr>
        <w:spacing w:before="103"/>
        <w:ind w:right="38"/>
      </w:pPr>
      <w:r>
        <w:t>Services</w:t>
      </w:r>
      <w:r w:rsidR="002F4380">
        <w:t xml:space="preserve"> utilise this template to </w:t>
      </w:r>
      <w:r>
        <w:t>develop an orientation document</w:t>
      </w:r>
      <w:r w:rsidR="00CD5039">
        <w:t xml:space="preserve"> that is relevant for </w:t>
      </w:r>
      <w:r>
        <w:t xml:space="preserve">the services </w:t>
      </w:r>
      <w:r w:rsidR="006000FC">
        <w:t>at a local level.</w:t>
      </w:r>
    </w:p>
    <w:p w14:paraId="195542E8" w14:textId="77777777" w:rsidR="00CD5039" w:rsidRDefault="0022438D" w:rsidP="008D2983">
      <w:pPr>
        <w:pStyle w:val="BodyText"/>
        <w:numPr>
          <w:ilvl w:val="0"/>
          <w:numId w:val="4"/>
        </w:numPr>
        <w:spacing w:before="103"/>
        <w:ind w:right="38"/>
      </w:pPr>
      <w:r>
        <w:t xml:space="preserve">Where orientation documents </w:t>
      </w:r>
      <w:r w:rsidR="00CD5039">
        <w:t xml:space="preserve">are already available it is recommended that </w:t>
      </w:r>
      <w:r>
        <w:t xml:space="preserve">services review their existing documentation to </w:t>
      </w:r>
      <w:r w:rsidR="00CD5039">
        <w:t xml:space="preserve">ensure the key elements included within this </w:t>
      </w:r>
      <w:r>
        <w:t xml:space="preserve">template </w:t>
      </w:r>
      <w:r w:rsidR="00CD5039">
        <w:t xml:space="preserve">are covered </w:t>
      </w:r>
      <w:r w:rsidR="00F34259">
        <w:t>or incorporated into existing</w:t>
      </w:r>
      <w:r w:rsidR="00CD5039">
        <w:t xml:space="preserve"> resources.</w:t>
      </w:r>
    </w:p>
    <w:p w14:paraId="76F479D9" w14:textId="1D6C267A" w:rsidR="0022438D" w:rsidRDefault="0022438D" w:rsidP="008D2983">
      <w:pPr>
        <w:pStyle w:val="BodyText"/>
        <w:numPr>
          <w:ilvl w:val="0"/>
          <w:numId w:val="4"/>
        </w:numPr>
        <w:spacing w:before="103"/>
        <w:ind w:right="38"/>
      </w:pPr>
      <w:r>
        <w:t xml:space="preserve">Services ensure Registrars are provided with this information as part of their orientation </w:t>
      </w:r>
      <w:r w:rsidR="00812824">
        <w:t>process</w:t>
      </w:r>
      <w:r>
        <w:t xml:space="preserve"> and that the orientation document is stored in a</w:t>
      </w:r>
      <w:r w:rsidR="00B372A3">
        <w:t xml:space="preserve"> </w:t>
      </w:r>
      <w:r>
        <w:t>location</w:t>
      </w:r>
      <w:r w:rsidR="00F34259">
        <w:t xml:space="preserve"> easily </w:t>
      </w:r>
      <w:r w:rsidR="006B5D98">
        <w:t>accessible</w:t>
      </w:r>
      <w:r w:rsidR="00F34259">
        <w:t xml:space="preserve"> to RMOs.</w:t>
      </w:r>
    </w:p>
    <w:p w14:paraId="1BF3632F" w14:textId="30482811" w:rsidR="006000FC" w:rsidRDefault="006000FC" w:rsidP="008D2983">
      <w:pPr>
        <w:pStyle w:val="BodyText"/>
        <w:numPr>
          <w:ilvl w:val="0"/>
          <w:numId w:val="4"/>
        </w:numPr>
        <w:spacing w:before="103"/>
        <w:ind w:right="38"/>
      </w:pPr>
      <w:r>
        <w:t>While orientation document</w:t>
      </w:r>
      <w:r w:rsidR="00F34259">
        <w:t>ation</w:t>
      </w:r>
      <w:r w:rsidR="00BA5648">
        <w:t xml:space="preserve"> can</w:t>
      </w:r>
      <w:r w:rsidR="00F34259">
        <w:t xml:space="preserve"> act as</w:t>
      </w:r>
      <w:r w:rsidR="007B36B0">
        <w:t xml:space="preserve"> </w:t>
      </w:r>
      <w:r>
        <w:t>a useful resource, to ensure RMOs are fully inducted to the service</w:t>
      </w:r>
      <w:r w:rsidR="007B36B0">
        <w:t>,</w:t>
      </w:r>
      <w:r>
        <w:t xml:space="preserve"> it is recommended that in</w:t>
      </w:r>
      <w:r w:rsidR="007B36B0">
        <w:t>-</w:t>
      </w:r>
      <w:r>
        <w:t>person orientations are scheduled</w:t>
      </w:r>
      <w:r w:rsidR="00F34259">
        <w:t xml:space="preserve"> wherever possible</w:t>
      </w:r>
      <w:r w:rsidR="003C2CDD">
        <w:t>/practical</w:t>
      </w:r>
      <w:r>
        <w:t xml:space="preserve"> with time </w:t>
      </w:r>
      <w:r w:rsidR="007B36B0">
        <w:t>allocated</w:t>
      </w:r>
      <w:r>
        <w:t xml:space="preserve"> at the beginning of each rotation to allow for this. </w:t>
      </w:r>
      <w:r w:rsidR="003C2CDD">
        <w:t>It is noted that with COVID-19 restrictions alternate solutions such as on-line orientations may be considered.</w:t>
      </w:r>
    </w:p>
    <w:p w14:paraId="6330C489" w14:textId="77777777" w:rsidR="00CD5039" w:rsidRDefault="00CD5039" w:rsidP="00CD5039">
      <w:pPr>
        <w:pStyle w:val="BodyText"/>
        <w:spacing w:before="103"/>
        <w:ind w:right="38"/>
        <w:jc w:val="both"/>
      </w:pPr>
    </w:p>
    <w:p w14:paraId="60F09A07" w14:textId="26A7261A" w:rsidR="0022438D" w:rsidRDefault="0022438D" w:rsidP="0022438D">
      <w:pPr>
        <w:pStyle w:val="BodyText"/>
        <w:spacing w:before="103"/>
        <w:ind w:right="38"/>
      </w:pPr>
      <w:r>
        <w:t xml:space="preserve">It is acknowledged that processes and requirements will vary for each </w:t>
      </w:r>
      <w:r w:rsidR="0086386F">
        <w:t>District</w:t>
      </w:r>
      <w:r w:rsidR="007B36B0">
        <w:t>.</w:t>
      </w:r>
      <w:r>
        <w:t xml:space="preserve"> </w:t>
      </w:r>
      <w:r w:rsidR="006977E8">
        <w:t>Therefore,</w:t>
      </w:r>
      <w:r>
        <w:t xml:space="preserve"> this document has been developed as a template only </w:t>
      </w:r>
      <w:r w:rsidR="007B36B0">
        <w:t xml:space="preserve">and </w:t>
      </w:r>
      <w:r>
        <w:t>provides a minimum standard guideline</w:t>
      </w:r>
      <w:r w:rsidR="007B36B0">
        <w:t>.</w:t>
      </w:r>
      <w:r>
        <w:t xml:space="preserve"> </w:t>
      </w:r>
      <w:r w:rsidR="003C2CDD">
        <w:t>I</w:t>
      </w:r>
      <w:r>
        <w:t xml:space="preserve">t is expected that </w:t>
      </w:r>
      <w:r w:rsidR="00812824">
        <w:t>services</w:t>
      </w:r>
      <w:r>
        <w:t xml:space="preserve"> will have </w:t>
      </w:r>
      <w:r w:rsidR="007B36B0">
        <w:t>more specific</w:t>
      </w:r>
      <w:r>
        <w:t xml:space="preserve"> information relevant to</w:t>
      </w:r>
      <w:r w:rsidR="005F1335">
        <w:t xml:space="preserve"> each individual </w:t>
      </w:r>
      <w:r>
        <w:t xml:space="preserve">service included within their local orientation documents.  </w:t>
      </w:r>
    </w:p>
    <w:p w14:paraId="0951EBB8" w14:textId="77777777" w:rsidR="006000FC" w:rsidRDefault="006000FC" w:rsidP="0022438D">
      <w:pPr>
        <w:pStyle w:val="BodyText"/>
        <w:spacing w:before="103"/>
        <w:ind w:right="38"/>
      </w:pPr>
    </w:p>
    <w:p w14:paraId="26CC97E9" w14:textId="77777777" w:rsidR="006000FC" w:rsidRPr="006000FC" w:rsidRDefault="006000FC" w:rsidP="0022438D">
      <w:pPr>
        <w:pStyle w:val="BodyText"/>
        <w:spacing w:before="103"/>
        <w:ind w:right="38"/>
        <w:rPr>
          <w:b/>
        </w:rPr>
      </w:pPr>
      <w:r w:rsidRPr="006000FC">
        <w:rPr>
          <w:b/>
        </w:rPr>
        <w:t>Considerations:</w:t>
      </w:r>
    </w:p>
    <w:p w14:paraId="11EC839D" w14:textId="756D6BDD" w:rsidR="006000FC" w:rsidRDefault="006000FC" w:rsidP="001A378B">
      <w:pPr>
        <w:pStyle w:val="BodyText"/>
        <w:numPr>
          <w:ilvl w:val="0"/>
          <w:numId w:val="16"/>
        </w:numPr>
        <w:spacing w:before="103"/>
        <w:ind w:right="38"/>
      </w:pPr>
      <w:r>
        <w:t>Implementation of a buddy</w:t>
      </w:r>
      <w:r w:rsidR="007B36B0">
        <w:t>-</w:t>
      </w:r>
      <w:r>
        <w:t xml:space="preserve">system pairing new Registrars with more senior Registrars has been a helpful system for some </w:t>
      </w:r>
      <w:r w:rsidR="0086386F">
        <w:t>District</w:t>
      </w:r>
      <w:r>
        <w:t>s</w:t>
      </w:r>
      <w:r w:rsidR="007B36B0">
        <w:t>.</w:t>
      </w:r>
      <w:r>
        <w:t xml:space="preserve"> </w:t>
      </w:r>
      <w:r w:rsidR="007B36B0">
        <w:t>This ‘buddy” serves as a</w:t>
      </w:r>
      <w:r>
        <w:t xml:space="preserve"> first point of contact</w:t>
      </w:r>
      <w:r w:rsidR="003C2CDD">
        <w:t xml:space="preserve">. A buddy system may also include rostering a buddy as support for the first one or two after hours shifts for new Registrars. </w:t>
      </w:r>
    </w:p>
    <w:p w14:paraId="3981D9D4" w14:textId="77777777" w:rsidR="006000FC" w:rsidRDefault="006000FC" w:rsidP="00394536">
      <w:pPr>
        <w:pStyle w:val="BodyText"/>
        <w:spacing w:before="103"/>
        <w:ind w:left="720" w:right="38"/>
      </w:pPr>
    </w:p>
    <w:p w14:paraId="458E71E8" w14:textId="77777777" w:rsidR="00CD5039" w:rsidRDefault="00CD5039" w:rsidP="00CD5039">
      <w:pPr>
        <w:pStyle w:val="BodyText"/>
        <w:spacing w:before="103"/>
        <w:ind w:right="38"/>
        <w:jc w:val="both"/>
      </w:pPr>
    </w:p>
    <w:p w14:paraId="04B4AD99" w14:textId="77777777" w:rsidR="00CD5039" w:rsidRDefault="00CD5039" w:rsidP="00CD5039">
      <w:pPr>
        <w:pStyle w:val="BodyText"/>
        <w:spacing w:before="103"/>
        <w:ind w:right="38"/>
        <w:jc w:val="both"/>
      </w:pPr>
    </w:p>
    <w:p w14:paraId="227471AB" w14:textId="77777777" w:rsidR="00CD5039" w:rsidRDefault="00CD5039" w:rsidP="00CD5039">
      <w:pPr>
        <w:pStyle w:val="BodyText"/>
        <w:spacing w:before="103"/>
        <w:ind w:right="38"/>
        <w:jc w:val="both"/>
      </w:pPr>
    </w:p>
    <w:p w14:paraId="6839719A" w14:textId="77777777" w:rsidR="00CD5039" w:rsidRDefault="00CD5039" w:rsidP="00CD5039">
      <w:pPr>
        <w:pStyle w:val="BodyText"/>
        <w:spacing w:before="103"/>
        <w:ind w:right="38"/>
        <w:jc w:val="both"/>
      </w:pPr>
    </w:p>
    <w:p w14:paraId="7EC821E5" w14:textId="77777777" w:rsidR="00CD5039" w:rsidRDefault="00CD5039" w:rsidP="00CD5039">
      <w:pPr>
        <w:pStyle w:val="BodyText"/>
        <w:spacing w:before="103"/>
        <w:ind w:right="38"/>
        <w:jc w:val="both"/>
      </w:pPr>
    </w:p>
    <w:p w14:paraId="5EC93F2F" w14:textId="77777777" w:rsidR="00CD5039" w:rsidRDefault="00CD5039" w:rsidP="00CD5039">
      <w:pPr>
        <w:pStyle w:val="BodyText"/>
        <w:spacing w:before="103"/>
        <w:ind w:right="38"/>
        <w:jc w:val="both"/>
      </w:pPr>
    </w:p>
    <w:p w14:paraId="6989C49D" w14:textId="77777777" w:rsidR="00CD5039" w:rsidRDefault="00CD5039" w:rsidP="00CD5039">
      <w:pPr>
        <w:pStyle w:val="BodyText"/>
        <w:spacing w:before="103"/>
        <w:ind w:right="38"/>
        <w:jc w:val="both"/>
      </w:pPr>
    </w:p>
    <w:p w14:paraId="2078CAC1" w14:textId="77777777" w:rsidR="000F72C7" w:rsidRDefault="000F72C7" w:rsidP="00CD5039">
      <w:pPr>
        <w:pStyle w:val="BodyText"/>
        <w:spacing w:before="103"/>
        <w:ind w:right="38"/>
        <w:jc w:val="both"/>
      </w:pPr>
    </w:p>
    <w:p w14:paraId="1A3260C2" w14:textId="6D639410" w:rsidR="00635D33" w:rsidRPr="00D07A6D" w:rsidRDefault="00812824" w:rsidP="00D07A6D">
      <w:pPr>
        <w:pStyle w:val="Heading2"/>
        <w:ind w:hanging="426"/>
      </w:pPr>
      <w:r w:rsidRPr="00D07A6D">
        <w:lastRenderedPageBreak/>
        <w:t>Orientation</w:t>
      </w:r>
      <w:r w:rsidR="00CD5039" w:rsidRPr="00D07A6D">
        <w:t xml:space="preserve"> Template</w:t>
      </w:r>
      <w:r w:rsidR="000F72C7" w:rsidRPr="00D07A6D">
        <w:t xml:space="preserve"> </w:t>
      </w:r>
    </w:p>
    <w:tbl>
      <w:tblPr>
        <w:tblStyle w:val="LightList-Accent1"/>
        <w:tblW w:w="10773" w:type="dxa"/>
        <w:tblInd w:w="-459" w:type="dxa"/>
        <w:tblBorders>
          <w:insideH w:val="single" w:sz="8" w:space="0" w:color="82C8F0" w:themeColor="accent1"/>
          <w:insideV w:val="single" w:sz="8" w:space="0" w:color="82C8F0" w:themeColor="accent1"/>
        </w:tblBorders>
        <w:tblLayout w:type="fixed"/>
        <w:tblLook w:val="04A0" w:firstRow="1" w:lastRow="0" w:firstColumn="1" w:lastColumn="0" w:noHBand="0" w:noVBand="1"/>
      </w:tblPr>
      <w:tblGrid>
        <w:gridCol w:w="1560"/>
        <w:gridCol w:w="3827"/>
        <w:gridCol w:w="5386"/>
      </w:tblGrid>
      <w:tr w:rsidR="008552F2" w:rsidRPr="00591ED7" w14:paraId="02775D6D" w14:textId="77777777" w:rsidTr="00D07A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19B6A774" w14:textId="77777777" w:rsidR="008552F2" w:rsidRPr="00D07A6D" w:rsidRDefault="008552F2" w:rsidP="00394536">
            <w:pPr>
              <w:pStyle w:val="Heading6"/>
              <w:spacing w:before="80" w:after="80"/>
              <w:outlineLvl w:val="5"/>
              <w:rPr>
                <w:rFonts w:asciiTheme="minorHAnsi" w:hAnsiTheme="minorHAnsi" w:cstheme="minorHAnsi"/>
                <w:b/>
                <w:sz w:val="18"/>
                <w:szCs w:val="18"/>
              </w:rPr>
            </w:pPr>
            <w:r w:rsidRPr="00D07A6D">
              <w:rPr>
                <w:rFonts w:asciiTheme="minorHAnsi" w:hAnsiTheme="minorHAnsi" w:cstheme="minorHAnsi"/>
                <w:b/>
                <w:sz w:val="18"/>
                <w:szCs w:val="18"/>
              </w:rPr>
              <w:t>Section</w:t>
            </w:r>
          </w:p>
        </w:tc>
        <w:tc>
          <w:tcPr>
            <w:tcW w:w="3827" w:type="dxa"/>
          </w:tcPr>
          <w:p w14:paraId="0F42D0BB" w14:textId="77777777" w:rsidR="008552F2" w:rsidRPr="00D07A6D" w:rsidRDefault="008552F2" w:rsidP="00394536">
            <w:pPr>
              <w:pStyle w:val="Heading6"/>
              <w:spacing w:before="80" w:after="80"/>
              <w:outlineLvl w:val="5"/>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 w:val="18"/>
                <w:szCs w:val="18"/>
              </w:rPr>
            </w:pPr>
            <w:r w:rsidRPr="00D07A6D">
              <w:rPr>
                <w:rFonts w:asciiTheme="minorHAnsi" w:hAnsiTheme="minorHAnsi" w:cstheme="minorHAnsi"/>
                <w:b/>
                <w:sz w:val="18"/>
                <w:szCs w:val="18"/>
              </w:rPr>
              <w:t>Background</w:t>
            </w:r>
            <w:r w:rsidR="00394536" w:rsidRPr="00D07A6D">
              <w:rPr>
                <w:rFonts w:asciiTheme="minorHAnsi" w:hAnsiTheme="minorHAnsi" w:cstheme="minorHAnsi"/>
                <w:b/>
                <w:sz w:val="18"/>
                <w:szCs w:val="18"/>
              </w:rPr>
              <w:t xml:space="preserve"> on information required</w:t>
            </w:r>
          </w:p>
        </w:tc>
        <w:tc>
          <w:tcPr>
            <w:tcW w:w="5386" w:type="dxa"/>
          </w:tcPr>
          <w:p w14:paraId="114E4345" w14:textId="77777777" w:rsidR="008552F2" w:rsidRPr="00D07A6D" w:rsidRDefault="008552F2" w:rsidP="00394536">
            <w:pPr>
              <w:pStyle w:val="Heading6"/>
              <w:spacing w:before="80" w:after="80"/>
              <w:outlineLvl w:val="5"/>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 w:val="18"/>
                <w:szCs w:val="18"/>
              </w:rPr>
            </w:pPr>
            <w:r w:rsidRPr="00D07A6D">
              <w:rPr>
                <w:rFonts w:asciiTheme="minorHAnsi" w:hAnsiTheme="minorHAnsi" w:cstheme="minorHAnsi"/>
                <w:b/>
                <w:sz w:val="18"/>
                <w:szCs w:val="18"/>
              </w:rPr>
              <w:t>Example of information included within the relevant section</w:t>
            </w:r>
          </w:p>
        </w:tc>
      </w:tr>
      <w:tr w:rsidR="008552F2" w:rsidRPr="00591ED7" w14:paraId="0A6C423E" w14:textId="77777777" w:rsidTr="00D07A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none" w:sz="0" w:space="0" w:color="auto"/>
              <w:left w:val="none" w:sz="0" w:space="0" w:color="auto"/>
              <w:bottom w:val="none" w:sz="0" w:space="0" w:color="auto"/>
            </w:tcBorders>
          </w:tcPr>
          <w:p w14:paraId="3847CA48" w14:textId="77777777" w:rsidR="008552F2" w:rsidRPr="00591ED7" w:rsidRDefault="008552F2" w:rsidP="00394536">
            <w:pPr>
              <w:pStyle w:val="Heading6"/>
              <w:spacing w:before="80" w:after="80"/>
              <w:outlineLvl w:val="5"/>
              <w:rPr>
                <w:rFonts w:asciiTheme="minorHAnsi" w:hAnsiTheme="minorHAnsi" w:cstheme="minorHAnsi"/>
                <w:b/>
                <w:sz w:val="18"/>
                <w:szCs w:val="18"/>
              </w:rPr>
            </w:pPr>
            <w:r w:rsidRPr="00591ED7">
              <w:rPr>
                <w:rFonts w:asciiTheme="minorHAnsi" w:hAnsiTheme="minorHAnsi" w:cstheme="minorHAnsi"/>
                <w:b/>
                <w:sz w:val="18"/>
                <w:szCs w:val="18"/>
              </w:rPr>
              <w:t>Key Contacts</w:t>
            </w:r>
          </w:p>
        </w:tc>
        <w:tc>
          <w:tcPr>
            <w:tcW w:w="3827" w:type="dxa"/>
            <w:tcBorders>
              <w:top w:val="none" w:sz="0" w:space="0" w:color="auto"/>
              <w:bottom w:val="none" w:sz="0" w:space="0" w:color="auto"/>
            </w:tcBorders>
          </w:tcPr>
          <w:p w14:paraId="35280207" w14:textId="590CDF60" w:rsidR="008552F2" w:rsidRPr="00591ED7" w:rsidRDefault="008552F2" w:rsidP="00394536">
            <w:pPr>
              <w:pStyle w:val="BodyText"/>
              <w:spacing w:before="80" w:after="80"/>
              <w:ind w:right="4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18"/>
                <w:szCs w:val="18"/>
              </w:rPr>
            </w:pPr>
            <w:r w:rsidRPr="00591ED7">
              <w:rPr>
                <w:rFonts w:asciiTheme="minorHAnsi" w:eastAsiaTheme="minorHAnsi" w:hAnsiTheme="minorHAnsi" w:cstheme="minorHAnsi"/>
                <w:sz w:val="18"/>
                <w:szCs w:val="18"/>
              </w:rPr>
              <w:t>This section provides an example of key contacts that would be helpful for new Registrars</w:t>
            </w:r>
            <w:r w:rsidR="007B36B0" w:rsidRPr="00591ED7">
              <w:rPr>
                <w:rFonts w:asciiTheme="minorHAnsi" w:eastAsiaTheme="minorHAnsi" w:hAnsiTheme="minorHAnsi" w:cstheme="minorHAnsi"/>
                <w:sz w:val="18"/>
                <w:szCs w:val="18"/>
              </w:rPr>
              <w:t>;</w:t>
            </w:r>
            <w:r w:rsidRPr="00591ED7">
              <w:rPr>
                <w:rFonts w:asciiTheme="minorHAnsi" w:eastAsiaTheme="minorHAnsi" w:hAnsiTheme="minorHAnsi" w:cstheme="minorHAnsi"/>
                <w:sz w:val="18"/>
                <w:szCs w:val="18"/>
              </w:rPr>
              <w:t xml:space="preserve"> this can be adjusted as required to add or remove relevant individuals for each service. Contact details</w:t>
            </w:r>
            <w:r w:rsidR="00447593">
              <w:rPr>
                <w:rFonts w:asciiTheme="minorHAnsi" w:eastAsiaTheme="minorHAnsi" w:hAnsiTheme="minorHAnsi" w:cstheme="minorHAnsi"/>
                <w:sz w:val="18"/>
                <w:szCs w:val="18"/>
              </w:rPr>
              <w:t xml:space="preserve"> including email address and phone </w:t>
            </w:r>
            <w:r w:rsidR="006B5D98">
              <w:rPr>
                <w:rFonts w:asciiTheme="minorHAnsi" w:eastAsiaTheme="minorHAnsi" w:hAnsiTheme="minorHAnsi" w:cstheme="minorHAnsi"/>
                <w:sz w:val="18"/>
                <w:szCs w:val="18"/>
              </w:rPr>
              <w:t xml:space="preserve">number </w:t>
            </w:r>
            <w:r w:rsidR="006B5D98" w:rsidRPr="00591ED7">
              <w:rPr>
                <w:rFonts w:asciiTheme="minorHAnsi" w:eastAsiaTheme="minorHAnsi" w:hAnsiTheme="minorHAnsi" w:cstheme="minorHAnsi"/>
                <w:sz w:val="18"/>
                <w:szCs w:val="18"/>
              </w:rPr>
              <w:t>should</w:t>
            </w:r>
            <w:r w:rsidRPr="00591ED7">
              <w:rPr>
                <w:rFonts w:asciiTheme="minorHAnsi" w:eastAsiaTheme="minorHAnsi" w:hAnsiTheme="minorHAnsi" w:cstheme="minorHAnsi"/>
                <w:sz w:val="18"/>
                <w:szCs w:val="18"/>
              </w:rPr>
              <w:t xml:space="preserve"> be provided for each key contact.</w:t>
            </w:r>
          </w:p>
        </w:tc>
        <w:tc>
          <w:tcPr>
            <w:tcW w:w="5386" w:type="dxa"/>
            <w:tcBorders>
              <w:top w:val="none" w:sz="0" w:space="0" w:color="auto"/>
              <w:bottom w:val="none" w:sz="0" w:space="0" w:color="auto"/>
              <w:right w:val="none" w:sz="0" w:space="0" w:color="auto"/>
            </w:tcBorders>
          </w:tcPr>
          <w:p w14:paraId="5AE2972A" w14:textId="77777777" w:rsidR="008552F2" w:rsidRPr="00591ED7" w:rsidRDefault="008552F2" w:rsidP="00394536">
            <w:pPr>
              <w:pStyle w:val="ListParagraph"/>
              <w:numPr>
                <w:ilvl w:val="0"/>
                <w:numId w:val="6"/>
              </w:numPr>
              <w:spacing w:before="80" w:after="80"/>
              <w:ind w:left="386" w:hanging="284"/>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91ED7">
              <w:rPr>
                <w:rFonts w:cstheme="minorHAnsi"/>
                <w:sz w:val="18"/>
                <w:szCs w:val="18"/>
              </w:rPr>
              <w:t xml:space="preserve">Service Manager </w:t>
            </w:r>
          </w:p>
          <w:p w14:paraId="41CE112E" w14:textId="77777777" w:rsidR="008552F2" w:rsidRPr="00591ED7" w:rsidRDefault="008552F2" w:rsidP="00394536">
            <w:pPr>
              <w:pStyle w:val="ListParagraph"/>
              <w:numPr>
                <w:ilvl w:val="0"/>
                <w:numId w:val="6"/>
              </w:numPr>
              <w:spacing w:before="80" w:after="80"/>
              <w:ind w:left="386" w:hanging="284"/>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91ED7">
              <w:rPr>
                <w:rFonts w:cstheme="minorHAnsi"/>
                <w:sz w:val="18"/>
                <w:szCs w:val="18"/>
              </w:rPr>
              <w:t xml:space="preserve">Clinical Director </w:t>
            </w:r>
          </w:p>
          <w:p w14:paraId="4C906554" w14:textId="77777777" w:rsidR="00E1758F" w:rsidRPr="00591ED7" w:rsidRDefault="008552F2" w:rsidP="00394536">
            <w:pPr>
              <w:pStyle w:val="ListParagraph"/>
              <w:numPr>
                <w:ilvl w:val="0"/>
                <w:numId w:val="6"/>
              </w:numPr>
              <w:spacing w:before="80" w:after="80"/>
              <w:ind w:left="386" w:hanging="284"/>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91ED7">
              <w:rPr>
                <w:rFonts w:cstheme="minorHAnsi"/>
                <w:sz w:val="18"/>
                <w:szCs w:val="18"/>
              </w:rPr>
              <w:t>Director of Training</w:t>
            </w:r>
          </w:p>
          <w:p w14:paraId="1975F345" w14:textId="459D1FFF" w:rsidR="008552F2" w:rsidRPr="00591ED7" w:rsidRDefault="00E1758F" w:rsidP="00394536">
            <w:pPr>
              <w:pStyle w:val="ListParagraph"/>
              <w:numPr>
                <w:ilvl w:val="0"/>
                <w:numId w:val="6"/>
              </w:numPr>
              <w:spacing w:before="80" w:after="80"/>
              <w:ind w:left="386" w:hanging="284"/>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91ED7">
              <w:rPr>
                <w:rFonts w:cstheme="minorHAnsi"/>
                <w:sz w:val="18"/>
                <w:szCs w:val="18"/>
              </w:rPr>
              <w:t>Local Training Facilitator</w:t>
            </w:r>
            <w:r w:rsidR="008552F2" w:rsidRPr="00591ED7">
              <w:rPr>
                <w:rFonts w:cstheme="minorHAnsi"/>
                <w:sz w:val="18"/>
                <w:szCs w:val="18"/>
              </w:rPr>
              <w:t xml:space="preserve"> </w:t>
            </w:r>
          </w:p>
          <w:p w14:paraId="5D026493" w14:textId="77777777" w:rsidR="008552F2" w:rsidRPr="00591ED7" w:rsidRDefault="008552F2" w:rsidP="00394536">
            <w:pPr>
              <w:pStyle w:val="ListParagraph"/>
              <w:numPr>
                <w:ilvl w:val="0"/>
                <w:numId w:val="6"/>
              </w:numPr>
              <w:spacing w:before="80" w:after="80"/>
              <w:ind w:left="386" w:hanging="284"/>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91ED7">
              <w:rPr>
                <w:rFonts w:cstheme="minorHAnsi"/>
                <w:sz w:val="18"/>
                <w:szCs w:val="18"/>
              </w:rPr>
              <w:t xml:space="preserve">Training Rep </w:t>
            </w:r>
          </w:p>
          <w:p w14:paraId="3FD93252" w14:textId="77777777" w:rsidR="008552F2" w:rsidRPr="00591ED7" w:rsidRDefault="008552F2" w:rsidP="00394536">
            <w:pPr>
              <w:pStyle w:val="ListParagraph"/>
              <w:numPr>
                <w:ilvl w:val="0"/>
                <w:numId w:val="6"/>
              </w:numPr>
              <w:spacing w:before="80" w:after="80"/>
              <w:ind w:left="384" w:hanging="283"/>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91ED7">
              <w:rPr>
                <w:rFonts w:cstheme="minorHAnsi"/>
                <w:sz w:val="18"/>
                <w:szCs w:val="18"/>
              </w:rPr>
              <w:t xml:space="preserve">RMO Support Unit </w:t>
            </w:r>
          </w:p>
        </w:tc>
      </w:tr>
      <w:tr w:rsidR="008552F2" w:rsidRPr="00591ED7" w14:paraId="30FAED42" w14:textId="77777777" w:rsidTr="00D07A6D">
        <w:tc>
          <w:tcPr>
            <w:cnfStyle w:val="001000000000" w:firstRow="0" w:lastRow="0" w:firstColumn="1" w:lastColumn="0" w:oddVBand="0" w:evenVBand="0" w:oddHBand="0" w:evenHBand="0" w:firstRowFirstColumn="0" w:firstRowLastColumn="0" w:lastRowFirstColumn="0" w:lastRowLastColumn="0"/>
            <w:tcW w:w="1560" w:type="dxa"/>
          </w:tcPr>
          <w:p w14:paraId="7635FED1" w14:textId="77777777" w:rsidR="008552F2" w:rsidRPr="00591ED7" w:rsidRDefault="008552F2" w:rsidP="00394536">
            <w:pPr>
              <w:pStyle w:val="Heading6"/>
              <w:spacing w:before="80" w:after="80"/>
              <w:outlineLvl w:val="5"/>
              <w:rPr>
                <w:rFonts w:asciiTheme="minorHAnsi" w:hAnsiTheme="minorHAnsi" w:cstheme="minorHAnsi"/>
                <w:b/>
                <w:sz w:val="18"/>
                <w:szCs w:val="18"/>
              </w:rPr>
            </w:pPr>
            <w:r w:rsidRPr="00591ED7">
              <w:rPr>
                <w:rFonts w:asciiTheme="minorHAnsi" w:hAnsiTheme="minorHAnsi" w:cstheme="minorHAnsi"/>
                <w:b/>
                <w:sz w:val="18"/>
                <w:szCs w:val="18"/>
              </w:rPr>
              <w:t xml:space="preserve">Travel between sites </w:t>
            </w:r>
          </w:p>
          <w:p w14:paraId="107D7DE8" w14:textId="77777777" w:rsidR="008552F2" w:rsidRPr="00591ED7" w:rsidRDefault="008552F2" w:rsidP="00394536">
            <w:pPr>
              <w:pStyle w:val="Heading6"/>
              <w:spacing w:before="80" w:after="80"/>
              <w:outlineLvl w:val="5"/>
              <w:rPr>
                <w:rFonts w:asciiTheme="minorHAnsi" w:hAnsiTheme="minorHAnsi" w:cstheme="minorHAnsi"/>
                <w:b/>
                <w:sz w:val="18"/>
                <w:szCs w:val="18"/>
              </w:rPr>
            </w:pPr>
          </w:p>
        </w:tc>
        <w:tc>
          <w:tcPr>
            <w:tcW w:w="3827" w:type="dxa"/>
          </w:tcPr>
          <w:p w14:paraId="3953E900" w14:textId="77777777" w:rsidR="008552F2" w:rsidRPr="00591ED7" w:rsidRDefault="008552F2" w:rsidP="00394536">
            <w:pPr>
              <w:spacing w:before="80" w:after="8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91ED7">
              <w:rPr>
                <w:rFonts w:cstheme="minorHAnsi"/>
                <w:sz w:val="18"/>
                <w:szCs w:val="18"/>
              </w:rPr>
              <w:t xml:space="preserve">This section provides services with a list of important points to cover in relation to parking, mileage, fleet vehicle and taxi chit use for mental health services where Registrars are required to travel as part of their role. </w:t>
            </w:r>
          </w:p>
          <w:p w14:paraId="631E75EC" w14:textId="77777777" w:rsidR="008552F2" w:rsidRPr="00591ED7" w:rsidRDefault="008552F2" w:rsidP="00394536">
            <w:pPr>
              <w:pStyle w:val="Heading6"/>
              <w:spacing w:before="80" w:after="80"/>
              <w:outlineLvl w:val="5"/>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5386" w:type="dxa"/>
          </w:tcPr>
          <w:p w14:paraId="229EBF2B" w14:textId="77777777" w:rsidR="008552F2" w:rsidRPr="00591ED7" w:rsidRDefault="008552F2" w:rsidP="00394536">
            <w:pPr>
              <w:pStyle w:val="ListParagraph"/>
              <w:numPr>
                <w:ilvl w:val="0"/>
                <w:numId w:val="5"/>
              </w:numPr>
              <w:spacing w:before="80" w:after="80"/>
              <w:ind w:left="384" w:hanging="283"/>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91ED7">
              <w:rPr>
                <w:rFonts w:cstheme="minorHAnsi"/>
                <w:sz w:val="18"/>
                <w:szCs w:val="18"/>
              </w:rPr>
              <w:t>Information on use of fleet vehicles taxis and personal vehicles so RMOs are clear on when use of the above applies. For example;</w:t>
            </w:r>
          </w:p>
          <w:p w14:paraId="3F18A5B2" w14:textId="36F5E1E4" w:rsidR="008552F2" w:rsidRPr="00591ED7" w:rsidRDefault="00EC3F33" w:rsidP="001A378B">
            <w:pPr>
              <w:pStyle w:val="ListParagraph"/>
              <w:numPr>
                <w:ilvl w:val="1"/>
                <w:numId w:val="5"/>
              </w:numPr>
              <w:spacing w:after="0"/>
              <w:ind w:left="809" w:hanging="141"/>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91ED7">
              <w:rPr>
                <w:rFonts w:cstheme="minorHAnsi"/>
                <w:sz w:val="18"/>
                <w:szCs w:val="18"/>
              </w:rPr>
              <w:t>A</w:t>
            </w:r>
            <w:r w:rsidR="008552F2" w:rsidRPr="00591ED7">
              <w:rPr>
                <w:rFonts w:cstheme="minorHAnsi"/>
                <w:sz w:val="18"/>
                <w:szCs w:val="18"/>
              </w:rPr>
              <w:t xml:space="preserve">re staff required to in the first instance book a fleet vehicle and only use a taxi or personal </w:t>
            </w:r>
            <w:r w:rsidR="006977E8" w:rsidRPr="00591ED7">
              <w:rPr>
                <w:rFonts w:cstheme="minorHAnsi"/>
                <w:sz w:val="18"/>
                <w:szCs w:val="18"/>
              </w:rPr>
              <w:t>vehicle if</w:t>
            </w:r>
            <w:r w:rsidR="008552F2" w:rsidRPr="00591ED7">
              <w:rPr>
                <w:rFonts w:cstheme="minorHAnsi"/>
                <w:sz w:val="18"/>
                <w:szCs w:val="18"/>
              </w:rPr>
              <w:t xml:space="preserve"> no fleet vehicle availability? </w:t>
            </w:r>
          </w:p>
          <w:p w14:paraId="2F9965AC" w14:textId="77777777" w:rsidR="001A378B" w:rsidRPr="00591ED7" w:rsidRDefault="008552F2" w:rsidP="001A378B">
            <w:pPr>
              <w:pStyle w:val="ListParagraph"/>
              <w:numPr>
                <w:ilvl w:val="1"/>
                <w:numId w:val="5"/>
              </w:numPr>
              <w:spacing w:after="0"/>
              <w:ind w:left="809" w:hanging="141"/>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91ED7">
              <w:rPr>
                <w:rFonts w:cstheme="minorHAnsi"/>
                <w:sz w:val="18"/>
                <w:szCs w:val="18"/>
              </w:rPr>
              <w:t>Is approval of use of a taxi required before use etc</w:t>
            </w:r>
          </w:p>
          <w:p w14:paraId="2ADE4051" w14:textId="594F8D15" w:rsidR="008552F2" w:rsidRPr="00591ED7" w:rsidRDefault="008552F2" w:rsidP="001A378B">
            <w:pPr>
              <w:pStyle w:val="ListParagraph"/>
              <w:spacing w:after="0"/>
              <w:ind w:left="809"/>
              <w:cnfStyle w:val="000000000000" w:firstRow="0" w:lastRow="0" w:firstColumn="0" w:lastColumn="0" w:oddVBand="0" w:evenVBand="0" w:oddHBand="0" w:evenHBand="0" w:firstRowFirstColumn="0" w:firstRowLastColumn="0" w:lastRowFirstColumn="0" w:lastRowLastColumn="0"/>
              <w:rPr>
                <w:rFonts w:cstheme="minorHAnsi"/>
                <w:sz w:val="18"/>
                <w:szCs w:val="18"/>
              </w:rPr>
            </w:pPr>
          </w:p>
          <w:p w14:paraId="2B562C2F" w14:textId="01CFF4E0" w:rsidR="008552F2" w:rsidRPr="00591ED7" w:rsidRDefault="008552F2" w:rsidP="001A378B">
            <w:pPr>
              <w:pStyle w:val="ListParagraph"/>
              <w:numPr>
                <w:ilvl w:val="0"/>
                <w:numId w:val="5"/>
              </w:numPr>
              <w:spacing w:after="0"/>
              <w:ind w:left="384" w:hanging="283"/>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91ED7">
              <w:rPr>
                <w:rFonts w:cstheme="minorHAnsi"/>
                <w:sz w:val="18"/>
                <w:szCs w:val="18"/>
              </w:rPr>
              <w:t xml:space="preserve">Links to relevant </w:t>
            </w:r>
            <w:r w:rsidR="0086386F">
              <w:rPr>
                <w:rFonts w:cstheme="minorHAnsi"/>
                <w:sz w:val="18"/>
                <w:szCs w:val="18"/>
              </w:rPr>
              <w:t>employer</w:t>
            </w:r>
            <w:r w:rsidRPr="00591ED7">
              <w:rPr>
                <w:rFonts w:cstheme="minorHAnsi"/>
                <w:sz w:val="18"/>
                <w:szCs w:val="18"/>
              </w:rPr>
              <w:t xml:space="preserve"> policies regarding use of personal vehicles, </w:t>
            </w:r>
            <w:proofErr w:type="gramStart"/>
            <w:r w:rsidRPr="00591ED7">
              <w:rPr>
                <w:rFonts w:cstheme="minorHAnsi"/>
                <w:sz w:val="18"/>
                <w:szCs w:val="18"/>
              </w:rPr>
              <w:t>taxis</w:t>
            </w:r>
            <w:proofErr w:type="gramEnd"/>
            <w:r w:rsidRPr="00591ED7">
              <w:rPr>
                <w:rFonts w:cstheme="minorHAnsi"/>
                <w:sz w:val="18"/>
                <w:szCs w:val="18"/>
              </w:rPr>
              <w:t xml:space="preserve"> and fleet vehicles. </w:t>
            </w:r>
          </w:p>
          <w:p w14:paraId="23E9C8DD" w14:textId="77777777" w:rsidR="001A378B" w:rsidRPr="00591ED7" w:rsidRDefault="001A378B" w:rsidP="001A378B">
            <w:pPr>
              <w:pStyle w:val="ListParagraph"/>
              <w:spacing w:after="0"/>
              <w:ind w:left="384"/>
              <w:cnfStyle w:val="000000000000" w:firstRow="0" w:lastRow="0" w:firstColumn="0" w:lastColumn="0" w:oddVBand="0" w:evenVBand="0" w:oddHBand="0" w:evenHBand="0" w:firstRowFirstColumn="0" w:firstRowLastColumn="0" w:lastRowFirstColumn="0" w:lastRowLastColumn="0"/>
              <w:rPr>
                <w:rFonts w:cstheme="minorHAnsi"/>
                <w:sz w:val="18"/>
                <w:szCs w:val="18"/>
              </w:rPr>
            </w:pPr>
          </w:p>
          <w:p w14:paraId="5ACB8C31" w14:textId="2C05E6BA" w:rsidR="001A378B" w:rsidRPr="00591ED7" w:rsidRDefault="008552F2" w:rsidP="001A378B">
            <w:pPr>
              <w:pStyle w:val="ListParagraph"/>
              <w:numPr>
                <w:ilvl w:val="0"/>
                <w:numId w:val="5"/>
              </w:numPr>
              <w:spacing w:after="0"/>
              <w:ind w:left="384" w:hanging="283"/>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91ED7">
              <w:rPr>
                <w:rFonts w:cstheme="minorHAnsi"/>
                <w:sz w:val="18"/>
                <w:szCs w:val="18"/>
              </w:rPr>
              <w:t xml:space="preserve">Information on eligibility for reimbursement of mileage and parking costs in line with the STONZ and NZRDA </w:t>
            </w:r>
            <w:r w:rsidR="0086386F">
              <w:rPr>
                <w:rFonts w:cstheme="minorHAnsi"/>
                <w:sz w:val="18"/>
                <w:szCs w:val="18"/>
              </w:rPr>
              <w:t>CA</w:t>
            </w:r>
            <w:r w:rsidRPr="00591ED7">
              <w:rPr>
                <w:rFonts w:cstheme="minorHAnsi"/>
                <w:sz w:val="18"/>
                <w:szCs w:val="18"/>
              </w:rPr>
              <w:t xml:space="preserve"> and </w:t>
            </w:r>
            <w:r w:rsidR="0086386F">
              <w:rPr>
                <w:rFonts w:cstheme="minorHAnsi"/>
                <w:sz w:val="18"/>
                <w:szCs w:val="18"/>
              </w:rPr>
              <w:t>employer</w:t>
            </w:r>
            <w:r w:rsidRPr="00591ED7">
              <w:rPr>
                <w:rFonts w:cstheme="minorHAnsi"/>
                <w:sz w:val="18"/>
                <w:szCs w:val="18"/>
              </w:rPr>
              <w:t xml:space="preserve"> policy.</w:t>
            </w:r>
          </w:p>
          <w:p w14:paraId="35E6959A" w14:textId="77777777" w:rsidR="0086386F" w:rsidRDefault="0086386F" w:rsidP="0086386F">
            <w:pPr>
              <w:pStyle w:val="ListParagraph"/>
              <w:cnfStyle w:val="000000000000" w:firstRow="0" w:lastRow="0" w:firstColumn="0" w:lastColumn="0" w:oddVBand="0" w:evenVBand="0" w:oddHBand="0" w:evenHBand="0" w:firstRowFirstColumn="0" w:firstRowLastColumn="0" w:lastRowFirstColumn="0" w:lastRowLastColumn="0"/>
              <w:rPr>
                <w:rFonts w:cstheme="minorHAnsi"/>
                <w:sz w:val="18"/>
                <w:szCs w:val="18"/>
              </w:rPr>
            </w:pPr>
          </w:p>
          <w:p w14:paraId="4DCE1FB2" w14:textId="77777777" w:rsidR="001A378B" w:rsidRPr="00591ED7" w:rsidRDefault="001A378B" w:rsidP="001A378B">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rPr>
            </w:pPr>
          </w:p>
          <w:p w14:paraId="77A2DF14" w14:textId="74031FAF" w:rsidR="001A378B" w:rsidRPr="00591ED7" w:rsidRDefault="008552F2" w:rsidP="001A378B">
            <w:pPr>
              <w:pStyle w:val="ListParagraph"/>
              <w:numPr>
                <w:ilvl w:val="0"/>
                <w:numId w:val="5"/>
              </w:numPr>
              <w:spacing w:after="0"/>
              <w:ind w:left="384" w:hanging="283"/>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91ED7">
              <w:rPr>
                <w:rFonts w:cstheme="minorHAnsi"/>
                <w:sz w:val="18"/>
                <w:szCs w:val="18"/>
              </w:rPr>
              <w:t xml:space="preserve">Link to the </w:t>
            </w:r>
            <w:r w:rsidR="0086386F">
              <w:rPr>
                <w:rFonts w:cstheme="minorHAnsi"/>
                <w:sz w:val="18"/>
                <w:szCs w:val="18"/>
              </w:rPr>
              <w:t xml:space="preserve">Health NZ &amp; </w:t>
            </w:r>
            <w:r w:rsidRPr="00591ED7">
              <w:rPr>
                <w:rFonts w:cstheme="minorHAnsi"/>
                <w:sz w:val="18"/>
                <w:szCs w:val="18"/>
              </w:rPr>
              <w:t xml:space="preserve">STONZ National Manual and examples regarding parking and/or mileage use. </w:t>
            </w:r>
          </w:p>
          <w:p w14:paraId="3E55064A" w14:textId="77777777" w:rsidR="001A378B" w:rsidRPr="00591ED7" w:rsidRDefault="001A378B" w:rsidP="001A378B">
            <w:pPr>
              <w:pStyle w:val="ListParagraph"/>
              <w:spacing w:after="0"/>
              <w:ind w:left="384"/>
              <w:cnfStyle w:val="000000000000" w:firstRow="0" w:lastRow="0" w:firstColumn="0" w:lastColumn="0" w:oddVBand="0" w:evenVBand="0" w:oddHBand="0" w:evenHBand="0" w:firstRowFirstColumn="0" w:firstRowLastColumn="0" w:lastRowFirstColumn="0" w:lastRowLastColumn="0"/>
              <w:rPr>
                <w:rFonts w:cstheme="minorHAnsi"/>
                <w:sz w:val="18"/>
                <w:szCs w:val="18"/>
              </w:rPr>
            </w:pPr>
          </w:p>
          <w:p w14:paraId="0EC84B21" w14:textId="26E29B19" w:rsidR="008552F2" w:rsidRDefault="008552F2" w:rsidP="001A378B">
            <w:pPr>
              <w:pStyle w:val="ListParagraph"/>
              <w:numPr>
                <w:ilvl w:val="0"/>
                <w:numId w:val="5"/>
              </w:numPr>
              <w:spacing w:after="80"/>
              <w:ind w:left="386" w:hanging="284"/>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91ED7">
              <w:rPr>
                <w:rFonts w:cstheme="minorHAnsi"/>
                <w:sz w:val="18"/>
                <w:szCs w:val="18"/>
              </w:rPr>
              <w:t>Information on how/where</w:t>
            </w:r>
            <w:r w:rsidR="00B372A3">
              <w:rPr>
                <w:rFonts w:cstheme="minorHAnsi"/>
                <w:sz w:val="18"/>
                <w:szCs w:val="18"/>
              </w:rPr>
              <w:t>/ timeframes</w:t>
            </w:r>
            <w:r w:rsidRPr="00591ED7">
              <w:rPr>
                <w:rFonts w:cstheme="minorHAnsi"/>
                <w:sz w:val="18"/>
                <w:szCs w:val="18"/>
              </w:rPr>
              <w:t xml:space="preserve"> to submit claims for parking and mileage.</w:t>
            </w:r>
          </w:p>
          <w:p w14:paraId="34F6DF25" w14:textId="77777777" w:rsidR="00447593" w:rsidRPr="00447593" w:rsidRDefault="00447593" w:rsidP="00447593">
            <w:pPr>
              <w:pStyle w:val="ListParagraph"/>
              <w:cnfStyle w:val="000000000000" w:firstRow="0" w:lastRow="0" w:firstColumn="0" w:lastColumn="0" w:oddVBand="0" w:evenVBand="0" w:oddHBand="0" w:evenHBand="0" w:firstRowFirstColumn="0" w:firstRowLastColumn="0" w:lastRowFirstColumn="0" w:lastRowLastColumn="0"/>
              <w:rPr>
                <w:rFonts w:cstheme="minorHAnsi"/>
                <w:sz w:val="18"/>
                <w:szCs w:val="18"/>
              </w:rPr>
            </w:pPr>
          </w:p>
          <w:p w14:paraId="5EDF20D1" w14:textId="3DC2424A" w:rsidR="00447593" w:rsidRPr="00591ED7" w:rsidRDefault="00447593" w:rsidP="001A378B">
            <w:pPr>
              <w:pStyle w:val="ListParagraph"/>
              <w:numPr>
                <w:ilvl w:val="0"/>
                <w:numId w:val="5"/>
              </w:numPr>
              <w:spacing w:after="80"/>
              <w:ind w:left="386" w:hanging="284"/>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Key contacts in relation to queries for travel between sites</w:t>
            </w:r>
          </w:p>
        </w:tc>
      </w:tr>
      <w:tr w:rsidR="008552F2" w:rsidRPr="00591ED7" w14:paraId="71492F5E" w14:textId="77777777" w:rsidTr="00D07A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none" w:sz="0" w:space="0" w:color="auto"/>
              <w:left w:val="none" w:sz="0" w:space="0" w:color="auto"/>
              <w:bottom w:val="none" w:sz="0" w:space="0" w:color="auto"/>
            </w:tcBorders>
          </w:tcPr>
          <w:p w14:paraId="256CD611" w14:textId="4C26D728" w:rsidR="008552F2" w:rsidRPr="00591ED7" w:rsidRDefault="008552F2" w:rsidP="00394536">
            <w:pPr>
              <w:pStyle w:val="Heading6"/>
              <w:spacing w:before="80" w:after="80"/>
              <w:outlineLvl w:val="5"/>
              <w:rPr>
                <w:rFonts w:asciiTheme="minorHAnsi" w:hAnsiTheme="minorHAnsi" w:cstheme="minorHAnsi"/>
                <w:b/>
                <w:sz w:val="18"/>
                <w:szCs w:val="18"/>
              </w:rPr>
            </w:pPr>
            <w:r w:rsidRPr="00591ED7">
              <w:rPr>
                <w:rFonts w:asciiTheme="minorHAnsi" w:hAnsiTheme="minorHAnsi" w:cstheme="minorHAnsi"/>
                <w:b/>
                <w:sz w:val="18"/>
                <w:szCs w:val="18"/>
              </w:rPr>
              <w:t xml:space="preserve">Home Based Assessments </w:t>
            </w:r>
            <w:r w:rsidR="008A659D">
              <w:rPr>
                <w:rFonts w:asciiTheme="minorHAnsi" w:hAnsiTheme="minorHAnsi" w:cstheme="minorHAnsi"/>
                <w:b/>
                <w:sz w:val="18"/>
                <w:szCs w:val="18"/>
              </w:rPr>
              <w:t xml:space="preserve">/ Assessments in Police Stations </w:t>
            </w:r>
            <w:r w:rsidRPr="00591ED7">
              <w:rPr>
                <w:rFonts w:asciiTheme="minorHAnsi" w:hAnsiTheme="minorHAnsi" w:cstheme="minorHAnsi"/>
                <w:b/>
                <w:sz w:val="18"/>
                <w:szCs w:val="18"/>
              </w:rPr>
              <w:t>After</w:t>
            </w:r>
            <w:r w:rsidR="00042436" w:rsidRPr="00591ED7">
              <w:rPr>
                <w:rFonts w:asciiTheme="minorHAnsi" w:hAnsiTheme="minorHAnsi" w:cstheme="minorHAnsi"/>
                <w:b/>
                <w:sz w:val="18"/>
                <w:szCs w:val="18"/>
              </w:rPr>
              <w:t>-h</w:t>
            </w:r>
            <w:r w:rsidRPr="00591ED7">
              <w:rPr>
                <w:rFonts w:asciiTheme="minorHAnsi" w:hAnsiTheme="minorHAnsi" w:cstheme="minorHAnsi"/>
                <w:b/>
                <w:sz w:val="18"/>
                <w:szCs w:val="18"/>
              </w:rPr>
              <w:t>ours</w:t>
            </w:r>
          </w:p>
          <w:p w14:paraId="5B5D22E4" w14:textId="77777777" w:rsidR="008552F2" w:rsidRPr="00591ED7" w:rsidRDefault="008552F2" w:rsidP="00394536">
            <w:pPr>
              <w:pStyle w:val="Heading6"/>
              <w:spacing w:before="80" w:after="80"/>
              <w:outlineLvl w:val="5"/>
              <w:rPr>
                <w:rFonts w:asciiTheme="minorHAnsi" w:hAnsiTheme="minorHAnsi" w:cstheme="minorHAnsi"/>
                <w:b/>
                <w:sz w:val="18"/>
                <w:szCs w:val="18"/>
              </w:rPr>
            </w:pPr>
          </w:p>
        </w:tc>
        <w:tc>
          <w:tcPr>
            <w:tcW w:w="3827" w:type="dxa"/>
            <w:tcBorders>
              <w:top w:val="none" w:sz="0" w:space="0" w:color="auto"/>
              <w:bottom w:val="none" w:sz="0" w:space="0" w:color="auto"/>
            </w:tcBorders>
          </w:tcPr>
          <w:p w14:paraId="1F106111" w14:textId="53204D23" w:rsidR="008552F2" w:rsidRPr="00591ED7" w:rsidRDefault="008552F2" w:rsidP="00394536">
            <w:pPr>
              <w:spacing w:before="80" w:after="80"/>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91ED7">
              <w:rPr>
                <w:rFonts w:cstheme="minorHAnsi"/>
                <w:sz w:val="18"/>
                <w:szCs w:val="18"/>
              </w:rPr>
              <w:t>Due to the importance of staff safety</w:t>
            </w:r>
            <w:r w:rsidR="00042436" w:rsidRPr="00591ED7">
              <w:rPr>
                <w:rFonts w:cstheme="minorHAnsi"/>
                <w:sz w:val="18"/>
                <w:szCs w:val="18"/>
              </w:rPr>
              <w:t>,</w:t>
            </w:r>
            <w:r w:rsidRPr="00591ED7">
              <w:rPr>
                <w:rFonts w:cstheme="minorHAnsi"/>
                <w:sz w:val="18"/>
                <w:szCs w:val="18"/>
              </w:rPr>
              <w:t xml:space="preserve"> when completing home</w:t>
            </w:r>
            <w:r w:rsidR="00042436" w:rsidRPr="00591ED7">
              <w:rPr>
                <w:rFonts w:cstheme="minorHAnsi"/>
                <w:sz w:val="18"/>
                <w:szCs w:val="18"/>
              </w:rPr>
              <w:t>-</w:t>
            </w:r>
            <w:r w:rsidRPr="00591ED7">
              <w:rPr>
                <w:rFonts w:cstheme="minorHAnsi"/>
                <w:sz w:val="18"/>
                <w:szCs w:val="18"/>
              </w:rPr>
              <w:t xml:space="preserve">based assessments after </w:t>
            </w:r>
            <w:r w:rsidR="006977E8" w:rsidRPr="00591ED7">
              <w:rPr>
                <w:rFonts w:cstheme="minorHAnsi"/>
                <w:sz w:val="18"/>
                <w:szCs w:val="18"/>
              </w:rPr>
              <w:t>hours’</w:t>
            </w:r>
            <w:r w:rsidRPr="00591ED7">
              <w:rPr>
                <w:rFonts w:cstheme="minorHAnsi"/>
                <w:sz w:val="18"/>
                <w:szCs w:val="18"/>
              </w:rPr>
              <w:t xml:space="preserve"> best practice guidelines for home</w:t>
            </w:r>
            <w:r w:rsidR="00042436" w:rsidRPr="00591ED7">
              <w:rPr>
                <w:rFonts w:cstheme="minorHAnsi"/>
                <w:sz w:val="18"/>
                <w:szCs w:val="18"/>
              </w:rPr>
              <w:t>-</w:t>
            </w:r>
            <w:r w:rsidRPr="00591ED7">
              <w:rPr>
                <w:rFonts w:cstheme="minorHAnsi"/>
                <w:sz w:val="18"/>
                <w:szCs w:val="18"/>
              </w:rPr>
              <w:t xml:space="preserve">based assessments have been agreed by </w:t>
            </w:r>
            <w:r w:rsidR="00B42757">
              <w:rPr>
                <w:rFonts w:cstheme="minorHAnsi"/>
                <w:sz w:val="18"/>
                <w:szCs w:val="18"/>
              </w:rPr>
              <w:t xml:space="preserve">Health NZ </w:t>
            </w:r>
            <w:r w:rsidRPr="00591ED7">
              <w:rPr>
                <w:rFonts w:cstheme="minorHAnsi"/>
                <w:sz w:val="18"/>
                <w:szCs w:val="18"/>
              </w:rPr>
              <w:t xml:space="preserve">and STONZ and are included in appendix 7 of the STONZ </w:t>
            </w:r>
            <w:r w:rsidR="0086386F">
              <w:rPr>
                <w:rFonts w:cstheme="minorHAnsi"/>
                <w:sz w:val="18"/>
                <w:szCs w:val="18"/>
              </w:rPr>
              <w:t>CA</w:t>
            </w:r>
            <w:r w:rsidRPr="00591ED7">
              <w:rPr>
                <w:rFonts w:cstheme="minorHAnsi"/>
                <w:sz w:val="18"/>
                <w:szCs w:val="18"/>
              </w:rPr>
              <w:t>. These guidelines include recommendations on a number of processes, procedures and resources that mental health services should ensure are in place to support RMOs on home</w:t>
            </w:r>
            <w:r w:rsidR="00042436" w:rsidRPr="00591ED7">
              <w:rPr>
                <w:rFonts w:cstheme="minorHAnsi"/>
                <w:sz w:val="18"/>
                <w:szCs w:val="18"/>
              </w:rPr>
              <w:t>-</w:t>
            </w:r>
            <w:r w:rsidRPr="00591ED7">
              <w:rPr>
                <w:rFonts w:cstheme="minorHAnsi"/>
                <w:sz w:val="18"/>
                <w:szCs w:val="18"/>
              </w:rPr>
              <w:t xml:space="preserve">based </w:t>
            </w:r>
            <w:r w:rsidR="006B5D98" w:rsidRPr="00591ED7">
              <w:rPr>
                <w:rFonts w:cstheme="minorHAnsi"/>
                <w:sz w:val="18"/>
                <w:szCs w:val="18"/>
              </w:rPr>
              <w:t>assessments</w:t>
            </w:r>
            <w:r w:rsidRPr="00591ED7">
              <w:rPr>
                <w:rFonts w:cstheme="minorHAnsi"/>
                <w:sz w:val="18"/>
                <w:szCs w:val="18"/>
              </w:rPr>
              <w:t xml:space="preserve"> after hours. </w:t>
            </w:r>
          </w:p>
          <w:p w14:paraId="526893A7" w14:textId="4C6E4D9D" w:rsidR="008552F2" w:rsidRPr="00591ED7" w:rsidRDefault="008552F2" w:rsidP="00042436">
            <w:pPr>
              <w:spacing w:before="80" w:after="80"/>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91ED7">
              <w:rPr>
                <w:rFonts w:cstheme="minorHAnsi"/>
                <w:sz w:val="18"/>
                <w:szCs w:val="18"/>
              </w:rPr>
              <w:t xml:space="preserve">It is recommended that services include information on the various safety policies and procedures in place </w:t>
            </w:r>
            <w:r w:rsidR="00042436" w:rsidRPr="00591ED7">
              <w:rPr>
                <w:rFonts w:cstheme="minorHAnsi"/>
                <w:sz w:val="18"/>
                <w:szCs w:val="18"/>
              </w:rPr>
              <w:t>during</w:t>
            </w:r>
            <w:r w:rsidRPr="00591ED7">
              <w:rPr>
                <w:rFonts w:cstheme="minorHAnsi"/>
                <w:sz w:val="18"/>
                <w:szCs w:val="18"/>
              </w:rPr>
              <w:t xml:space="preserve"> orientation. A document should be provided to Registrars that outlines the key points and resources available including:</w:t>
            </w:r>
          </w:p>
        </w:tc>
        <w:tc>
          <w:tcPr>
            <w:tcW w:w="5386" w:type="dxa"/>
            <w:tcBorders>
              <w:top w:val="none" w:sz="0" w:space="0" w:color="auto"/>
              <w:bottom w:val="none" w:sz="0" w:space="0" w:color="auto"/>
              <w:right w:val="none" w:sz="0" w:space="0" w:color="auto"/>
            </w:tcBorders>
          </w:tcPr>
          <w:p w14:paraId="10F55CA4" w14:textId="4F3B3617" w:rsidR="008552F2" w:rsidRPr="00591ED7" w:rsidRDefault="00EC3F33" w:rsidP="001A378B">
            <w:pPr>
              <w:pStyle w:val="ListParagraph"/>
              <w:numPr>
                <w:ilvl w:val="0"/>
                <w:numId w:val="5"/>
              </w:numPr>
              <w:spacing w:after="0"/>
              <w:ind w:left="386" w:hanging="283"/>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91ED7">
              <w:rPr>
                <w:rFonts w:cstheme="minorHAnsi"/>
                <w:sz w:val="18"/>
                <w:szCs w:val="18"/>
              </w:rPr>
              <w:t xml:space="preserve">Information and/or </w:t>
            </w:r>
            <w:r w:rsidR="00BC1AE6" w:rsidRPr="00591ED7">
              <w:rPr>
                <w:rFonts w:cstheme="minorHAnsi"/>
                <w:sz w:val="18"/>
                <w:szCs w:val="18"/>
              </w:rPr>
              <w:t>l</w:t>
            </w:r>
            <w:r w:rsidR="008552F2" w:rsidRPr="00591ED7">
              <w:rPr>
                <w:rFonts w:cstheme="minorHAnsi"/>
                <w:sz w:val="18"/>
                <w:szCs w:val="18"/>
              </w:rPr>
              <w:t xml:space="preserve">inks to relevant </w:t>
            </w:r>
            <w:r w:rsidR="0086386F">
              <w:rPr>
                <w:rFonts w:cstheme="minorHAnsi"/>
                <w:sz w:val="18"/>
                <w:szCs w:val="18"/>
              </w:rPr>
              <w:t>employer</w:t>
            </w:r>
            <w:r w:rsidR="008552F2" w:rsidRPr="00591ED7">
              <w:rPr>
                <w:rFonts w:cstheme="minorHAnsi"/>
                <w:sz w:val="18"/>
                <w:szCs w:val="18"/>
              </w:rPr>
              <w:t xml:space="preserve"> policies, procedures and resources relating to home based assessments </w:t>
            </w:r>
          </w:p>
          <w:p w14:paraId="2FEFB36E" w14:textId="77777777" w:rsidR="00394536" w:rsidRPr="00591ED7" w:rsidRDefault="00394536" w:rsidP="001A378B">
            <w:pPr>
              <w:pStyle w:val="ListParagraph"/>
              <w:spacing w:after="0"/>
              <w:ind w:left="386"/>
              <w:cnfStyle w:val="000000100000" w:firstRow="0" w:lastRow="0" w:firstColumn="0" w:lastColumn="0" w:oddVBand="0" w:evenVBand="0" w:oddHBand="1" w:evenHBand="0" w:firstRowFirstColumn="0" w:firstRowLastColumn="0" w:lastRowFirstColumn="0" w:lastRowLastColumn="0"/>
              <w:rPr>
                <w:rFonts w:cstheme="minorHAnsi"/>
                <w:sz w:val="18"/>
                <w:szCs w:val="18"/>
              </w:rPr>
            </w:pPr>
          </w:p>
          <w:p w14:paraId="19C3511D" w14:textId="3EA46C4F" w:rsidR="008552F2" w:rsidRPr="00591ED7" w:rsidRDefault="008552F2" w:rsidP="001A378B">
            <w:pPr>
              <w:pStyle w:val="ListParagraph"/>
              <w:numPr>
                <w:ilvl w:val="0"/>
                <w:numId w:val="5"/>
              </w:numPr>
              <w:spacing w:after="0"/>
              <w:ind w:left="386" w:hanging="283"/>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91ED7">
              <w:rPr>
                <w:rFonts w:cstheme="minorHAnsi"/>
                <w:sz w:val="18"/>
                <w:szCs w:val="18"/>
              </w:rPr>
              <w:t>Information and/or links to mental health service escalation processes relating to home</w:t>
            </w:r>
            <w:r w:rsidR="00042436" w:rsidRPr="00591ED7">
              <w:rPr>
                <w:rFonts w:cstheme="minorHAnsi"/>
                <w:sz w:val="18"/>
                <w:szCs w:val="18"/>
              </w:rPr>
              <w:t>-</w:t>
            </w:r>
            <w:r w:rsidRPr="00591ED7">
              <w:rPr>
                <w:rFonts w:cstheme="minorHAnsi"/>
                <w:sz w:val="18"/>
                <w:szCs w:val="18"/>
              </w:rPr>
              <w:t>based assessments</w:t>
            </w:r>
          </w:p>
          <w:p w14:paraId="750B8A51" w14:textId="77777777" w:rsidR="00394536" w:rsidRPr="00591ED7" w:rsidRDefault="00394536" w:rsidP="001A378B">
            <w:pPr>
              <w:pStyle w:val="ListParagraph"/>
              <w:spacing w:after="0"/>
              <w:ind w:left="386"/>
              <w:cnfStyle w:val="000000100000" w:firstRow="0" w:lastRow="0" w:firstColumn="0" w:lastColumn="0" w:oddVBand="0" w:evenVBand="0" w:oddHBand="1" w:evenHBand="0" w:firstRowFirstColumn="0" w:firstRowLastColumn="0" w:lastRowFirstColumn="0" w:lastRowLastColumn="0"/>
              <w:rPr>
                <w:rFonts w:cstheme="minorHAnsi"/>
                <w:sz w:val="18"/>
                <w:szCs w:val="18"/>
              </w:rPr>
            </w:pPr>
          </w:p>
          <w:p w14:paraId="741E3B83" w14:textId="77777777" w:rsidR="000F72C7" w:rsidRDefault="008552F2" w:rsidP="000F72C7">
            <w:pPr>
              <w:pStyle w:val="ListParagraph"/>
              <w:numPr>
                <w:ilvl w:val="0"/>
                <w:numId w:val="5"/>
              </w:numPr>
              <w:spacing w:after="0"/>
              <w:ind w:left="386" w:hanging="283"/>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91ED7">
              <w:rPr>
                <w:rFonts w:cstheme="minorHAnsi"/>
                <w:sz w:val="18"/>
                <w:szCs w:val="18"/>
              </w:rPr>
              <w:t>Information and/or links to criteria on when home based assessments should be undertaken</w:t>
            </w:r>
            <w:r w:rsidR="003C2CDD" w:rsidRPr="00591ED7">
              <w:rPr>
                <w:rFonts w:cstheme="minorHAnsi"/>
                <w:sz w:val="18"/>
                <w:szCs w:val="18"/>
              </w:rPr>
              <w:t>.</w:t>
            </w:r>
          </w:p>
          <w:p w14:paraId="511A3A47" w14:textId="77777777" w:rsidR="000F72C7" w:rsidRPr="000F72C7" w:rsidRDefault="000F72C7" w:rsidP="000F72C7">
            <w:pPr>
              <w:pStyle w:val="ListParagraph"/>
              <w:cnfStyle w:val="000000100000" w:firstRow="0" w:lastRow="0" w:firstColumn="0" w:lastColumn="0" w:oddVBand="0" w:evenVBand="0" w:oddHBand="1" w:evenHBand="0" w:firstRowFirstColumn="0" w:firstRowLastColumn="0" w:lastRowFirstColumn="0" w:lastRowLastColumn="0"/>
              <w:rPr>
                <w:rFonts w:cstheme="minorHAnsi"/>
                <w:sz w:val="18"/>
                <w:szCs w:val="18"/>
              </w:rPr>
            </w:pPr>
          </w:p>
          <w:p w14:paraId="15101C43" w14:textId="46DE16B7" w:rsidR="003C2CDD" w:rsidRPr="000F72C7" w:rsidRDefault="008A659D" w:rsidP="000F72C7">
            <w:pPr>
              <w:pStyle w:val="ListParagraph"/>
              <w:numPr>
                <w:ilvl w:val="0"/>
                <w:numId w:val="5"/>
              </w:numPr>
              <w:spacing w:after="0"/>
              <w:ind w:left="386" w:hanging="283"/>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0F72C7">
              <w:rPr>
                <w:rFonts w:cstheme="minorHAnsi"/>
                <w:sz w:val="18"/>
                <w:szCs w:val="18"/>
              </w:rPr>
              <w:t xml:space="preserve">Information around assessments in police stations after-hours </w:t>
            </w:r>
            <w:r w:rsidR="00CA6C5D" w:rsidRPr="000F72C7">
              <w:rPr>
                <w:rFonts w:cstheme="minorHAnsi"/>
                <w:sz w:val="18"/>
                <w:szCs w:val="18"/>
              </w:rPr>
              <w:t xml:space="preserve">and </w:t>
            </w:r>
            <w:r w:rsidR="006B5D98" w:rsidRPr="000F72C7">
              <w:rPr>
                <w:rFonts w:cstheme="minorHAnsi"/>
                <w:sz w:val="18"/>
                <w:szCs w:val="18"/>
              </w:rPr>
              <w:t>criteria</w:t>
            </w:r>
            <w:r w:rsidR="00CA6C5D" w:rsidRPr="000F72C7">
              <w:rPr>
                <w:rFonts w:cstheme="minorHAnsi"/>
                <w:sz w:val="18"/>
                <w:szCs w:val="18"/>
              </w:rPr>
              <w:t xml:space="preserve"> on how these assessments should be undertaken.</w:t>
            </w:r>
          </w:p>
          <w:p w14:paraId="56C63BE3" w14:textId="2D96E387" w:rsidR="008552F2" w:rsidRPr="00591ED7" w:rsidRDefault="003C2CDD" w:rsidP="001A378B">
            <w:pPr>
              <w:pStyle w:val="ListParagraph"/>
              <w:numPr>
                <w:ilvl w:val="0"/>
                <w:numId w:val="5"/>
              </w:numPr>
              <w:spacing w:after="0"/>
              <w:ind w:left="386" w:hanging="283"/>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91ED7">
              <w:rPr>
                <w:rFonts w:cstheme="minorHAnsi"/>
                <w:sz w:val="18"/>
                <w:szCs w:val="18"/>
              </w:rPr>
              <w:t xml:space="preserve">Reference to local </w:t>
            </w:r>
            <w:r w:rsidR="0086386F">
              <w:rPr>
                <w:rFonts w:cstheme="minorHAnsi"/>
                <w:sz w:val="18"/>
                <w:szCs w:val="18"/>
              </w:rPr>
              <w:t>employer</w:t>
            </w:r>
            <w:r w:rsidRPr="00591ED7">
              <w:rPr>
                <w:rFonts w:cstheme="minorHAnsi"/>
                <w:sz w:val="18"/>
                <w:szCs w:val="18"/>
              </w:rPr>
              <w:t xml:space="preserve"> guidelines related to SARS-COVID. </w:t>
            </w:r>
          </w:p>
          <w:p w14:paraId="0DF4540D" w14:textId="77777777" w:rsidR="008552F2" w:rsidRPr="00591ED7" w:rsidRDefault="008552F2" w:rsidP="00394536">
            <w:pPr>
              <w:pStyle w:val="Heading6"/>
              <w:spacing w:before="80" w:after="80"/>
              <w:outlineLvl w:val="5"/>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8552F2" w:rsidRPr="00591ED7" w14:paraId="413FCA38" w14:textId="77777777" w:rsidTr="00D07A6D">
        <w:trPr>
          <w:trHeight w:val="467"/>
        </w:trPr>
        <w:tc>
          <w:tcPr>
            <w:cnfStyle w:val="001000000000" w:firstRow="0" w:lastRow="0" w:firstColumn="1" w:lastColumn="0" w:oddVBand="0" w:evenVBand="0" w:oddHBand="0" w:evenHBand="0" w:firstRowFirstColumn="0" w:firstRowLastColumn="0" w:lastRowFirstColumn="0" w:lastRowLastColumn="0"/>
            <w:tcW w:w="1560" w:type="dxa"/>
          </w:tcPr>
          <w:p w14:paraId="32D31CF2" w14:textId="77777777" w:rsidR="008552F2" w:rsidRDefault="008552F2" w:rsidP="00394536">
            <w:pPr>
              <w:pStyle w:val="Heading6"/>
              <w:spacing w:before="80" w:after="80"/>
              <w:outlineLvl w:val="5"/>
              <w:rPr>
                <w:rFonts w:asciiTheme="minorHAnsi" w:hAnsiTheme="minorHAnsi" w:cstheme="minorHAnsi"/>
                <w:bCs w:val="0"/>
                <w:sz w:val="18"/>
                <w:szCs w:val="18"/>
              </w:rPr>
            </w:pPr>
            <w:r w:rsidRPr="00591ED7">
              <w:rPr>
                <w:rFonts w:asciiTheme="minorHAnsi" w:hAnsiTheme="minorHAnsi" w:cstheme="minorHAnsi"/>
                <w:b/>
                <w:sz w:val="18"/>
                <w:szCs w:val="18"/>
              </w:rPr>
              <w:t>Registrar Wellbeing</w:t>
            </w:r>
          </w:p>
          <w:p w14:paraId="6CF02BF7" w14:textId="77777777" w:rsidR="0086386F" w:rsidRPr="0086386F" w:rsidRDefault="0086386F" w:rsidP="0086386F"/>
          <w:p w14:paraId="53E8361F" w14:textId="77777777" w:rsidR="0086386F" w:rsidRPr="0086386F" w:rsidRDefault="0086386F" w:rsidP="0086386F"/>
          <w:p w14:paraId="276A3E1B" w14:textId="77777777" w:rsidR="0086386F" w:rsidRPr="0086386F" w:rsidRDefault="0086386F" w:rsidP="0086386F"/>
          <w:p w14:paraId="14F38270" w14:textId="77777777" w:rsidR="0086386F" w:rsidRPr="0086386F" w:rsidRDefault="0086386F" w:rsidP="0086386F"/>
          <w:p w14:paraId="102DBA79" w14:textId="77777777" w:rsidR="0086386F" w:rsidRPr="0086386F" w:rsidRDefault="0086386F" w:rsidP="0086386F"/>
          <w:p w14:paraId="454D3D51" w14:textId="77777777" w:rsidR="0086386F" w:rsidRPr="0086386F" w:rsidRDefault="0086386F" w:rsidP="0086386F"/>
          <w:p w14:paraId="190E0B68" w14:textId="77777777" w:rsidR="0086386F" w:rsidRPr="0086386F" w:rsidRDefault="0086386F" w:rsidP="0086386F"/>
          <w:p w14:paraId="68DFA08C" w14:textId="77777777" w:rsidR="0086386F" w:rsidRPr="0086386F" w:rsidRDefault="0086386F" w:rsidP="0086386F"/>
          <w:p w14:paraId="1FAB0F47" w14:textId="4AD8591E" w:rsidR="0086386F" w:rsidRPr="0086386F" w:rsidRDefault="0086386F" w:rsidP="0086386F"/>
        </w:tc>
        <w:tc>
          <w:tcPr>
            <w:tcW w:w="3827" w:type="dxa"/>
          </w:tcPr>
          <w:p w14:paraId="0075E074" w14:textId="77777777" w:rsidR="00042436" w:rsidRPr="00591ED7" w:rsidRDefault="008552F2" w:rsidP="00394536">
            <w:pPr>
              <w:spacing w:before="80" w:after="8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91ED7">
              <w:rPr>
                <w:rFonts w:cstheme="minorHAnsi"/>
                <w:sz w:val="18"/>
                <w:szCs w:val="18"/>
              </w:rPr>
              <w:t>It is acknowledged that the Psychiatry Registrar role can</w:t>
            </w:r>
            <w:r w:rsidR="00042436" w:rsidRPr="00591ED7">
              <w:rPr>
                <w:rFonts w:cstheme="minorHAnsi"/>
                <w:sz w:val="18"/>
                <w:szCs w:val="18"/>
              </w:rPr>
              <w:t>,</w:t>
            </w:r>
            <w:r w:rsidRPr="00591ED7">
              <w:rPr>
                <w:rFonts w:cstheme="minorHAnsi"/>
                <w:sz w:val="18"/>
                <w:szCs w:val="18"/>
              </w:rPr>
              <w:t xml:space="preserve"> at times</w:t>
            </w:r>
            <w:r w:rsidR="00042436" w:rsidRPr="00591ED7">
              <w:rPr>
                <w:rFonts w:cstheme="minorHAnsi"/>
                <w:sz w:val="18"/>
                <w:szCs w:val="18"/>
              </w:rPr>
              <w:t>,</w:t>
            </w:r>
            <w:r w:rsidRPr="00591ED7">
              <w:rPr>
                <w:rFonts w:cstheme="minorHAnsi"/>
                <w:sz w:val="18"/>
                <w:szCs w:val="18"/>
              </w:rPr>
              <w:t xml:space="preserve"> be challenging due to the nature of the role and it is important that Registrars are made aware of the resources and contacts available to them. </w:t>
            </w:r>
          </w:p>
          <w:p w14:paraId="45306475" w14:textId="77777777" w:rsidR="008552F2" w:rsidRPr="00591ED7" w:rsidRDefault="008552F2" w:rsidP="00394536">
            <w:pPr>
              <w:spacing w:before="80" w:after="8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91ED7">
              <w:rPr>
                <w:rFonts w:cstheme="minorHAnsi"/>
                <w:sz w:val="18"/>
                <w:szCs w:val="18"/>
              </w:rPr>
              <w:t xml:space="preserve">Examples include but not limited to: </w:t>
            </w:r>
          </w:p>
        </w:tc>
        <w:tc>
          <w:tcPr>
            <w:tcW w:w="5386" w:type="dxa"/>
          </w:tcPr>
          <w:p w14:paraId="2DD369BB" w14:textId="2D686C84" w:rsidR="00447593" w:rsidRPr="00591ED7" w:rsidRDefault="00447593" w:rsidP="00447593">
            <w:pPr>
              <w:pStyle w:val="ListParagraph"/>
              <w:numPr>
                <w:ilvl w:val="0"/>
                <w:numId w:val="5"/>
              </w:numPr>
              <w:spacing w:after="0"/>
              <w:ind w:left="386" w:hanging="283"/>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91ED7">
              <w:rPr>
                <w:rFonts w:cstheme="minorHAnsi"/>
                <w:sz w:val="18"/>
                <w:szCs w:val="18"/>
              </w:rPr>
              <w:t>Relevant contacts for RMOs to speak with should they need support such as their supervising consultant, trainin</w:t>
            </w:r>
            <w:r w:rsidR="00CA6C5D">
              <w:rPr>
                <w:rFonts w:cstheme="minorHAnsi"/>
                <w:sz w:val="18"/>
                <w:szCs w:val="18"/>
              </w:rPr>
              <w:t xml:space="preserve">g facilitator, chief Registrars, </w:t>
            </w:r>
            <w:r w:rsidR="00CA6C5D">
              <w:t>on-call SMO or manager if during on-call</w:t>
            </w:r>
            <w:r w:rsidR="00CA6C5D">
              <w:rPr>
                <w:rFonts w:cstheme="minorHAnsi"/>
                <w:sz w:val="18"/>
                <w:szCs w:val="18"/>
              </w:rPr>
              <w:t xml:space="preserve">. </w:t>
            </w:r>
          </w:p>
          <w:p w14:paraId="3A6E2021" w14:textId="77777777" w:rsidR="00447593" w:rsidRDefault="00447593" w:rsidP="00447593">
            <w:pPr>
              <w:pStyle w:val="ListParagraph"/>
              <w:spacing w:after="0"/>
              <w:ind w:left="384"/>
              <w:cnfStyle w:val="000000000000" w:firstRow="0" w:lastRow="0" w:firstColumn="0" w:lastColumn="0" w:oddVBand="0" w:evenVBand="0" w:oddHBand="0" w:evenHBand="0" w:firstRowFirstColumn="0" w:firstRowLastColumn="0" w:lastRowFirstColumn="0" w:lastRowLastColumn="0"/>
              <w:rPr>
                <w:rFonts w:cstheme="minorHAnsi"/>
                <w:sz w:val="18"/>
                <w:szCs w:val="18"/>
              </w:rPr>
            </w:pPr>
          </w:p>
          <w:p w14:paraId="2686CF35" w14:textId="3EF8B590" w:rsidR="00447593" w:rsidRDefault="00447593" w:rsidP="001A378B">
            <w:pPr>
              <w:pStyle w:val="ListParagraph"/>
              <w:numPr>
                <w:ilvl w:val="0"/>
                <w:numId w:val="5"/>
              </w:numPr>
              <w:spacing w:after="0"/>
              <w:ind w:left="384" w:hanging="283"/>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91ED7">
              <w:rPr>
                <w:rFonts w:cstheme="minorHAnsi"/>
                <w:sz w:val="18"/>
                <w:szCs w:val="18"/>
              </w:rPr>
              <w:t xml:space="preserve">Royal Australia and New Zealand College of Psychiatrist (RANZCP) useful resources </w:t>
            </w:r>
            <w:hyperlink r:id="rId12" w:history="1">
              <w:r w:rsidRPr="00591ED7">
                <w:rPr>
                  <w:rStyle w:val="Hyperlink"/>
                  <w:rFonts w:cstheme="minorHAnsi"/>
                  <w:sz w:val="18"/>
                  <w:szCs w:val="18"/>
                </w:rPr>
                <w:t>https://www.ranzcp.org/membership/wellbeing-support-for-members/top-5-self-care-tips-for-psychiatrists</w:t>
              </w:r>
            </w:hyperlink>
          </w:p>
          <w:p w14:paraId="1CC7FB19" w14:textId="77777777" w:rsidR="00447593" w:rsidRDefault="00447593" w:rsidP="00447593">
            <w:pPr>
              <w:pStyle w:val="ListParagraph"/>
              <w:spacing w:after="0"/>
              <w:ind w:left="384"/>
              <w:cnfStyle w:val="000000000000" w:firstRow="0" w:lastRow="0" w:firstColumn="0" w:lastColumn="0" w:oddVBand="0" w:evenVBand="0" w:oddHBand="0" w:evenHBand="0" w:firstRowFirstColumn="0" w:firstRowLastColumn="0" w:lastRowFirstColumn="0" w:lastRowLastColumn="0"/>
              <w:rPr>
                <w:rFonts w:cstheme="minorHAnsi"/>
                <w:sz w:val="18"/>
                <w:szCs w:val="18"/>
              </w:rPr>
            </w:pPr>
          </w:p>
          <w:p w14:paraId="6C8ABDAF" w14:textId="65E22345" w:rsidR="008552F2" w:rsidRPr="00591ED7" w:rsidRDefault="008552F2" w:rsidP="001A378B">
            <w:pPr>
              <w:pStyle w:val="ListParagraph"/>
              <w:numPr>
                <w:ilvl w:val="0"/>
                <w:numId w:val="5"/>
              </w:numPr>
              <w:spacing w:after="0"/>
              <w:ind w:left="384" w:hanging="283"/>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91ED7">
              <w:rPr>
                <w:rFonts w:cstheme="minorHAnsi"/>
                <w:sz w:val="18"/>
                <w:szCs w:val="18"/>
              </w:rPr>
              <w:t xml:space="preserve">All </w:t>
            </w:r>
            <w:r w:rsidR="0086386F">
              <w:rPr>
                <w:rFonts w:cstheme="minorHAnsi"/>
                <w:sz w:val="18"/>
                <w:szCs w:val="18"/>
              </w:rPr>
              <w:t>District</w:t>
            </w:r>
            <w:r w:rsidRPr="00591ED7">
              <w:rPr>
                <w:rFonts w:cstheme="minorHAnsi"/>
                <w:sz w:val="18"/>
                <w:szCs w:val="18"/>
              </w:rPr>
              <w:t xml:space="preserve">s offer access to three fully funded sessions through </w:t>
            </w:r>
            <w:r w:rsidR="006B5D98" w:rsidRPr="00591ED7">
              <w:rPr>
                <w:rFonts w:cstheme="minorHAnsi"/>
                <w:sz w:val="18"/>
                <w:szCs w:val="18"/>
              </w:rPr>
              <w:t>an</w:t>
            </w:r>
            <w:r w:rsidRPr="00591ED7">
              <w:rPr>
                <w:rFonts w:cstheme="minorHAnsi"/>
                <w:sz w:val="18"/>
                <w:szCs w:val="18"/>
              </w:rPr>
              <w:t xml:space="preserve"> Emp</w:t>
            </w:r>
            <w:r w:rsidR="00394536" w:rsidRPr="00591ED7">
              <w:rPr>
                <w:rFonts w:cstheme="minorHAnsi"/>
                <w:sz w:val="18"/>
                <w:szCs w:val="18"/>
              </w:rPr>
              <w:t>loyee Assistance Provider (EAP)</w:t>
            </w:r>
            <w:r w:rsidRPr="00591ED7">
              <w:rPr>
                <w:rFonts w:cstheme="minorHAnsi"/>
                <w:sz w:val="18"/>
                <w:szCs w:val="18"/>
              </w:rPr>
              <w:t xml:space="preserve">. </w:t>
            </w:r>
          </w:p>
          <w:p w14:paraId="219BDE6F" w14:textId="77777777" w:rsidR="00394536" w:rsidRPr="00591ED7" w:rsidRDefault="00394536" w:rsidP="001A378B">
            <w:pPr>
              <w:pStyle w:val="ListParagraph"/>
              <w:spacing w:after="0"/>
              <w:ind w:left="384"/>
              <w:cnfStyle w:val="000000000000" w:firstRow="0" w:lastRow="0" w:firstColumn="0" w:lastColumn="0" w:oddVBand="0" w:evenVBand="0" w:oddHBand="0" w:evenHBand="0" w:firstRowFirstColumn="0" w:firstRowLastColumn="0" w:lastRowFirstColumn="0" w:lastRowLastColumn="0"/>
              <w:rPr>
                <w:rFonts w:cstheme="minorHAnsi"/>
                <w:sz w:val="18"/>
                <w:szCs w:val="18"/>
              </w:rPr>
            </w:pPr>
          </w:p>
          <w:p w14:paraId="73B1058A" w14:textId="77777777" w:rsidR="008552F2" w:rsidRPr="00591ED7" w:rsidRDefault="008552F2" w:rsidP="001A378B">
            <w:pPr>
              <w:pStyle w:val="ListParagraph"/>
              <w:numPr>
                <w:ilvl w:val="0"/>
                <w:numId w:val="5"/>
              </w:numPr>
              <w:spacing w:after="0"/>
              <w:ind w:left="384" w:hanging="283"/>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91ED7">
              <w:rPr>
                <w:rFonts w:cstheme="minorHAnsi"/>
                <w:sz w:val="18"/>
                <w:szCs w:val="18"/>
              </w:rPr>
              <w:t xml:space="preserve">Members of the Medical Protection Society (MPS) are entitled to six fully funded counselling/therapy sessions </w:t>
            </w:r>
          </w:p>
          <w:p w14:paraId="301208F7" w14:textId="3609E99B" w:rsidR="008552F2" w:rsidRPr="00447593" w:rsidRDefault="00B42757" w:rsidP="00447593">
            <w:pPr>
              <w:pStyle w:val="ListParagraph"/>
              <w:spacing w:after="0"/>
              <w:ind w:left="384"/>
              <w:cnfStyle w:val="000000000000" w:firstRow="0" w:lastRow="0" w:firstColumn="0" w:lastColumn="0" w:oddVBand="0" w:evenVBand="0" w:oddHBand="0" w:evenHBand="0" w:firstRowFirstColumn="0" w:firstRowLastColumn="0" w:lastRowFirstColumn="0" w:lastRowLastColumn="0"/>
              <w:rPr>
                <w:rFonts w:cstheme="minorHAnsi"/>
                <w:color w:val="05648C" w:themeColor="hyperlink"/>
                <w:sz w:val="18"/>
                <w:szCs w:val="18"/>
                <w:u w:val="single"/>
              </w:rPr>
            </w:pPr>
            <w:hyperlink r:id="rId13" w:history="1">
              <w:r w:rsidR="008552F2" w:rsidRPr="00591ED7">
                <w:rPr>
                  <w:rStyle w:val="Hyperlink"/>
                  <w:rFonts w:cstheme="minorHAnsi"/>
                  <w:sz w:val="18"/>
                  <w:szCs w:val="18"/>
                </w:rPr>
                <w:t>https://www.medicalprotection.org/newzealand/help-advice/counselling-service</w:t>
              </w:r>
            </w:hyperlink>
          </w:p>
          <w:p w14:paraId="72BCC357" w14:textId="77777777" w:rsidR="00394536" w:rsidRPr="00591ED7" w:rsidRDefault="00394536" w:rsidP="001A378B">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rPr>
            </w:pPr>
          </w:p>
          <w:p w14:paraId="4E9EE83A" w14:textId="2F70038E" w:rsidR="008552F2" w:rsidRPr="00591ED7" w:rsidRDefault="0086386F" w:rsidP="001A378B">
            <w:pPr>
              <w:pStyle w:val="ListParagraph"/>
              <w:numPr>
                <w:ilvl w:val="0"/>
                <w:numId w:val="5"/>
              </w:numPr>
              <w:spacing w:after="80"/>
              <w:ind w:left="386" w:hanging="284"/>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District</w:t>
            </w:r>
            <w:r w:rsidR="00447593">
              <w:rPr>
                <w:rFonts w:cstheme="minorHAnsi"/>
                <w:sz w:val="18"/>
                <w:szCs w:val="18"/>
              </w:rPr>
              <w:t xml:space="preserve"> occupa</w:t>
            </w:r>
            <w:r w:rsidR="00394536" w:rsidRPr="00591ED7">
              <w:rPr>
                <w:rFonts w:cstheme="minorHAnsi"/>
                <w:sz w:val="18"/>
                <w:szCs w:val="18"/>
              </w:rPr>
              <w:t>tional health service</w:t>
            </w:r>
          </w:p>
        </w:tc>
      </w:tr>
      <w:tr w:rsidR="008552F2" w:rsidRPr="00591ED7" w14:paraId="510BE069" w14:textId="77777777" w:rsidTr="00D07A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none" w:sz="0" w:space="0" w:color="auto"/>
              <w:left w:val="none" w:sz="0" w:space="0" w:color="auto"/>
              <w:bottom w:val="none" w:sz="0" w:space="0" w:color="auto"/>
            </w:tcBorders>
          </w:tcPr>
          <w:p w14:paraId="473D9551" w14:textId="77777777" w:rsidR="008552F2" w:rsidRPr="00591ED7" w:rsidRDefault="008552F2" w:rsidP="00394536">
            <w:pPr>
              <w:spacing w:before="80" w:after="80"/>
              <w:rPr>
                <w:rFonts w:cstheme="minorHAnsi"/>
                <w:sz w:val="18"/>
                <w:szCs w:val="18"/>
              </w:rPr>
            </w:pPr>
            <w:r w:rsidRPr="00591ED7">
              <w:rPr>
                <w:rFonts w:cstheme="minorHAnsi"/>
                <w:sz w:val="18"/>
                <w:szCs w:val="18"/>
              </w:rPr>
              <w:lastRenderedPageBreak/>
              <w:t>Teaching and academic programmes</w:t>
            </w:r>
          </w:p>
          <w:p w14:paraId="20962F80" w14:textId="77777777" w:rsidR="008552F2" w:rsidRPr="00591ED7" w:rsidRDefault="008552F2" w:rsidP="00394536">
            <w:pPr>
              <w:pStyle w:val="Heading6"/>
              <w:spacing w:before="80" w:after="80"/>
              <w:outlineLvl w:val="5"/>
              <w:rPr>
                <w:rFonts w:asciiTheme="minorHAnsi" w:hAnsiTheme="minorHAnsi" w:cstheme="minorHAnsi"/>
                <w:b/>
                <w:sz w:val="18"/>
                <w:szCs w:val="18"/>
              </w:rPr>
            </w:pPr>
          </w:p>
        </w:tc>
        <w:tc>
          <w:tcPr>
            <w:tcW w:w="3827" w:type="dxa"/>
            <w:tcBorders>
              <w:top w:val="none" w:sz="0" w:space="0" w:color="auto"/>
              <w:bottom w:val="none" w:sz="0" w:space="0" w:color="auto"/>
            </w:tcBorders>
          </w:tcPr>
          <w:p w14:paraId="3CA90AA1" w14:textId="77777777" w:rsidR="008552F2" w:rsidRPr="00591ED7" w:rsidRDefault="008552F2" w:rsidP="00394536">
            <w:pPr>
              <w:spacing w:before="80" w:after="80"/>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91ED7">
              <w:rPr>
                <w:rFonts w:cstheme="minorHAnsi"/>
                <w:sz w:val="18"/>
                <w:szCs w:val="18"/>
              </w:rPr>
              <w:t xml:space="preserve">It may be helpful for services to include any relevant information regarding the Registrar teaching sessions / academic programme. This may include: </w:t>
            </w:r>
          </w:p>
        </w:tc>
        <w:tc>
          <w:tcPr>
            <w:tcW w:w="5386" w:type="dxa"/>
            <w:tcBorders>
              <w:top w:val="none" w:sz="0" w:space="0" w:color="auto"/>
              <w:bottom w:val="none" w:sz="0" w:space="0" w:color="auto"/>
              <w:right w:val="none" w:sz="0" w:space="0" w:color="auto"/>
            </w:tcBorders>
          </w:tcPr>
          <w:p w14:paraId="3C09A71E" w14:textId="77777777" w:rsidR="008552F2" w:rsidRPr="00591ED7" w:rsidRDefault="008552F2" w:rsidP="00394536">
            <w:pPr>
              <w:pStyle w:val="ListParagraph"/>
              <w:numPr>
                <w:ilvl w:val="0"/>
                <w:numId w:val="5"/>
              </w:numPr>
              <w:spacing w:before="80" w:after="80"/>
              <w:ind w:left="384" w:hanging="283"/>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91ED7">
              <w:rPr>
                <w:rFonts w:cstheme="minorHAnsi"/>
                <w:sz w:val="18"/>
                <w:szCs w:val="18"/>
              </w:rPr>
              <w:t>Days, locations and times of teaching sessions</w:t>
            </w:r>
          </w:p>
          <w:p w14:paraId="595D0190" w14:textId="77777777" w:rsidR="001A378B" w:rsidRPr="00591ED7" w:rsidRDefault="001A378B" w:rsidP="001A378B">
            <w:pPr>
              <w:pStyle w:val="ListParagraph"/>
              <w:spacing w:before="80" w:after="0"/>
              <w:ind w:left="386"/>
              <w:cnfStyle w:val="000000100000" w:firstRow="0" w:lastRow="0" w:firstColumn="0" w:lastColumn="0" w:oddVBand="0" w:evenVBand="0" w:oddHBand="1" w:evenHBand="0" w:firstRowFirstColumn="0" w:firstRowLastColumn="0" w:lastRowFirstColumn="0" w:lastRowLastColumn="0"/>
              <w:rPr>
                <w:rFonts w:cstheme="minorHAnsi"/>
                <w:sz w:val="18"/>
                <w:szCs w:val="18"/>
              </w:rPr>
            </w:pPr>
          </w:p>
          <w:p w14:paraId="28A80671" w14:textId="09380635" w:rsidR="008552F2" w:rsidRPr="00591ED7" w:rsidRDefault="008552F2" w:rsidP="00591ED7">
            <w:pPr>
              <w:pStyle w:val="ListParagraph"/>
              <w:numPr>
                <w:ilvl w:val="0"/>
                <w:numId w:val="5"/>
              </w:numPr>
              <w:spacing w:after="80"/>
              <w:ind w:left="386" w:hanging="284"/>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91ED7">
              <w:rPr>
                <w:rFonts w:cstheme="minorHAnsi"/>
                <w:sz w:val="18"/>
                <w:szCs w:val="18"/>
              </w:rPr>
              <w:t>Expectations in regards to teaching</w:t>
            </w:r>
            <w:r w:rsidR="003C2CDD" w:rsidRPr="00591ED7">
              <w:rPr>
                <w:rFonts w:cstheme="minorHAnsi"/>
                <w:sz w:val="18"/>
                <w:szCs w:val="18"/>
              </w:rPr>
              <w:t>. For RANZCP trainees, attend</w:t>
            </w:r>
            <w:r w:rsidR="00430947">
              <w:rPr>
                <w:rFonts w:cstheme="minorHAnsi"/>
                <w:sz w:val="18"/>
                <w:szCs w:val="18"/>
              </w:rPr>
              <w:t>ance</w:t>
            </w:r>
            <w:r w:rsidR="003C2CDD" w:rsidRPr="00591ED7">
              <w:rPr>
                <w:rFonts w:cstheme="minorHAnsi"/>
                <w:sz w:val="18"/>
                <w:szCs w:val="18"/>
              </w:rPr>
              <w:t xml:space="preserve"> at the </w:t>
            </w:r>
            <w:r w:rsidR="00430947">
              <w:rPr>
                <w:rFonts w:cstheme="minorHAnsi"/>
                <w:sz w:val="18"/>
                <w:szCs w:val="18"/>
              </w:rPr>
              <w:t>formal education course (FEC)</w:t>
            </w:r>
            <w:r w:rsidR="00430947" w:rsidRPr="00591ED7">
              <w:rPr>
                <w:rFonts w:cstheme="minorHAnsi"/>
                <w:sz w:val="18"/>
                <w:szCs w:val="18"/>
              </w:rPr>
              <w:t xml:space="preserve"> </w:t>
            </w:r>
            <w:r w:rsidR="003C2CDD" w:rsidRPr="00591ED7">
              <w:rPr>
                <w:rFonts w:cstheme="minorHAnsi"/>
                <w:sz w:val="18"/>
                <w:szCs w:val="18"/>
              </w:rPr>
              <w:t>is mandatory and failing to attend 70% means they have to redo elements of their academic program</w:t>
            </w:r>
          </w:p>
        </w:tc>
      </w:tr>
      <w:tr w:rsidR="008552F2" w:rsidRPr="00591ED7" w14:paraId="6DDDEFDE" w14:textId="77777777" w:rsidTr="00D07A6D">
        <w:tc>
          <w:tcPr>
            <w:cnfStyle w:val="001000000000" w:firstRow="0" w:lastRow="0" w:firstColumn="1" w:lastColumn="0" w:oddVBand="0" w:evenVBand="0" w:oddHBand="0" w:evenHBand="0" w:firstRowFirstColumn="0" w:firstRowLastColumn="0" w:lastRowFirstColumn="0" w:lastRowLastColumn="0"/>
            <w:tcW w:w="1560" w:type="dxa"/>
          </w:tcPr>
          <w:p w14:paraId="4FAD014C" w14:textId="77777777" w:rsidR="008552F2" w:rsidRPr="00591ED7" w:rsidRDefault="008552F2" w:rsidP="00394536">
            <w:pPr>
              <w:spacing w:before="80" w:after="80"/>
              <w:rPr>
                <w:rFonts w:cstheme="minorHAnsi"/>
                <w:sz w:val="18"/>
                <w:szCs w:val="18"/>
              </w:rPr>
            </w:pPr>
            <w:r w:rsidRPr="00591ED7">
              <w:rPr>
                <w:rFonts w:cstheme="minorHAnsi"/>
                <w:sz w:val="18"/>
                <w:szCs w:val="18"/>
              </w:rPr>
              <w:t>Leave Applications</w:t>
            </w:r>
          </w:p>
          <w:p w14:paraId="3B17A2B1" w14:textId="77777777" w:rsidR="008552F2" w:rsidRPr="00591ED7" w:rsidRDefault="008552F2" w:rsidP="00394536">
            <w:pPr>
              <w:pStyle w:val="Heading6"/>
              <w:spacing w:before="80" w:after="80"/>
              <w:outlineLvl w:val="5"/>
              <w:rPr>
                <w:rFonts w:asciiTheme="minorHAnsi" w:hAnsiTheme="minorHAnsi" w:cstheme="minorHAnsi"/>
                <w:b/>
                <w:sz w:val="18"/>
                <w:szCs w:val="18"/>
              </w:rPr>
            </w:pPr>
          </w:p>
        </w:tc>
        <w:tc>
          <w:tcPr>
            <w:tcW w:w="3827" w:type="dxa"/>
          </w:tcPr>
          <w:p w14:paraId="14C9313A" w14:textId="77777777" w:rsidR="008552F2" w:rsidRPr="00591ED7" w:rsidRDefault="008552F2" w:rsidP="00394536">
            <w:pPr>
              <w:spacing w:before="80" w:after="8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91ED7">
              <w:rPr>
                <w:rFonts w:cstheme="minorHAnsi"/>
                <w:sz w:val="18"/>
                <w:szCs w:val="18"/>
              </w:rPr>
              <w:t xml:space="preserve">It may be helpful for services to include any relevant information regarding any internal leave decision making processes and/or key contacts. Feedback suggests increased transparency with regards to leave processes and decisions results in increased satisfaction for RMOs. </w:t>
            </w:r>
          </w:p>
        </w:tc>
        <w:tc>
          <w:tcPr>
            <w:tcW w:w="5386" w:type="dxa"/>
          </w:tcPr>
          <w:p w14:paraId="05723825" w14:textId="77777777" w:rsidR="00EC3F33" w:rsidRPr="00591ED7" w:rsidRDefault="008552F2" w:rsidP="001A378B">
            <w:pPr>
              <w:pStyle w:val="ListParagraph"/>
              <w:numPr>
                <w:ilvl w:val="0"/>
                <w:numId w:val="5"/>
              </w:numPr>
              <w:spacing w:after="0"/>
              <w:ind w:left="386" w:hanging="283"/>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91ED7">
              <w:rPr>
                <w:rFonts w:cstheme="minorHAnsi"/>
                <w:sz w:val="18"/>
                <w:szCs w:val="18"/>
              </w:rPr>
              <w:t xml:space="preserve">Any relevant leave application processes that RMOs need to be aware of </w:t>
            </w:r>
          </w:p>
          <w:p w14:paraId="09E08E27" w14:textId="77777777" w:rsidR="001A378B" w:rsidRPr="00591ED7" w:rsidRDefault="001A378B" w:rsidP="001A378B">
            <w:pPr>
              <w:pStyle w:val="ListParagraph"/>
              <w:spacing w:after="0"/>
              <w:ind w:left="386"/>
              <w:cnfStyle w:val="000000000000" w:firstRow="0" w:lastRow="0" w:firstColumn="0" w:lastColumn="0" w:oddVBand="0" w:evenVBand="0" w:oddHBand="0" w:evenHBand="0" w:firstRowFirstColumn="0" w:firstRowLastColumn="0" w:lastRowFirstColumn="0" w:lastRowLastColumn="0"/>
              <w:rPr>
                <w:rFonts w:cstheme="minorHAnsi"/>
                <w:sz w:val="18"/>
                <w:szCs w:val="18"/>
              </w:rPr>
            </w:pPr>
          </w:p>
          <w:p w14:paraId="06BA362E" w14:textId="77777777" w:rsidR="00EC3F33" w:rsidRPr="00591ED7" w:rsidRDefault="008552F2" w:rsidP="001A378B">
            <w:pPr>
              <w:pStyle w:val="ListParagraph"/>
              <w:numPr>
                <w:ilvl w:val="0"/>
                <w:numId w:val="5"/>
              </w:numPr>
              <w:spacing w:after="0"/>
              <w:ind w:left="386" w:hanging="283"/>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91ED7">
              <w:rPr>
                <w:rFonts w:cstheme="minorHAnsi"/>
                <w:sz w:val="18"/>
                <w:szCs w:val="18"/>
              </w:rPr>
              <w:t>Service specific parameters and requirements for leave</w:t>
            </w:r>
          </w:p>
          <w:p w14:paraId="30BD252E" w14:textId="77777777" w:rsidR="001A378B" w:rsidRPr="00591ED7" w:rsidRDefault="001A378B" w:rsidP="001A378B">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rPr>
            </w:pPr>
          </w:p>
          <w:p w14:paraId="63481E77" w14:textId="77777777" w:rsidR="00EC3F33" w:rsidRPr="00591ED7" w:rsidRDefault="008552F2" w:rsidP="001A378B">
            <w:pPr>
              <w:pStyle w:val="ListParagraph"/>
              <w:numPr>
                <w:ilvl w:val="0"/>
                <w:numId w:val="5"/>
              </w:numPr>
              <w:spacing w:after="0"/>
              <w:ind w:left="386" w:hanging="283"/>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91ED7">
              <w:rPr>
                <w:rFonts w:cstheme="minorHAnsi"/>
                <w:sz w:val="18"/>
                <w:szCs w:val="18"/>
              </w:rPr>
              <w:t>Escalatio</w:t>
            </w:r>
            <w:r w:rsidR="00EC3F33" w:rsidRPr="00591ED7">
              <w:rPr>
                <w:rFonts w:cstheme="minorHAnsi"/>
                <w:sz w:val="18"/>
                <w:szCs w:val="18"/>
              </w:rPr>
              <w:t>n process for leave application</w:t>
            </w:r>
          </w:p>
          <w:p w14:paraId="60C5A361" w14:textId="77777777" w:rsidR="001A378B" w:rsidRPr="00591ED7" w:rsidRDefault="001A378B" w:rsidP="001A378B">
            <w:pPr>
              <w:pStyle w:val="ListParagraph"/>
              <w:spacing w:after="0"/>
              <w:ind w:left="386"/>
              <w:cnfStyle w:val="000000000000" w:firstRow="0" w:lastRow="0" w:firstColumn="0" w:lastColumn="0" w:oddVBand="0" w:evenVBand="0" w:oddHBand="0" w:evenHBand="0" w:firstRowFirstColumn="0" w:firstRowLastColumn="0" w:lastRowFirstColumn="0" w:lastRowLastColumn="0"/>
              <w:rPr>
                <w:rFonts w:cstheme="minorHAnsi"/>
                <w:sz w:val="18"/>
                <w:szCs w:val="18"/>
              </w:rPr>
            </w:pPr>
          </w:p>
          <w:p w14:paraId="402F26E4" w14:textId="61867FCB" w:rsidR="00447593" w:rsidRDefault="008552F2" w:rsidP="00447593">
            <w:pPr>
              <w:pStyle w:val="ListParagraph"/>
              <w:numPr>
                <w:ilvl w:val="0"/>
                <w:numId w:val="5"/>
              </w:numPr>
              <w:spacing w:after="0"/>
              <w:ind w:left="386" w:hanging="283"/>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91ED7">
              <w:rPr>
                <w:rFonts w:cstheme="minorHAnsi"/>
                <w:sz w:val="18"/>
                <w:szCs w:val="18"/>
              </w:rPr>
              <w:t xml:space="preserve">Information regarding leave cover i.e. does the service have a reliever for after </w:t>
            </w:r>
            <w:r w:rsidR="006977E8" w:rsidRPr="00591ED7">
              <w:rPr>
                <w:rFonts w:cstheme="minorHAnsi"/>
                <w:sz w:val="18"/>
                <w:szCs w:val="18"/>
              </w:rPr>
              <w:t>hours’</w:t>
            </w:r>
            <w:r w:rsidRPr="00591ED7">
              <w:rPr>
                <w:rFonts w:cstheme="minorHAnsi"/>
                <w:sz w:val="18"/>
                <w:szCs w:val="18"/>
              </w:rPr>
              <w:t xml:space="preserve"> duties with any absent day duties covered internally within the department?</w:t>
            </w:r>
          </w:p>
          <w:p w14:paraId="05C23C65" w14:textId="77777777" w:rsidR="00447593" w:rsidRPr="00447593" w:rsidRDefault="00447593" w:rsidP="00447593">
            <w:pPr>
              <w:spacing w:after="0"/>
              <w:cnfStyle w:val="000000000000" w:firstRow="0" w:lastRow="0" w:firstColumn="0" w:lastColumn="0" w:oddVBand="0" w:evenVBand="0" w:oddHBand="0" w:evenHBand="0" w:firstRowFirstColumn="0" w:firstRowLastColumn="0" w:lastRowFirstColumn="0" w:lastRowLastColumn="0"/>
              <w:rPr>
                <w:rFonts w:cstheme="minorHAnsi"/>
                <w:sz w:val="18"/>
                <w:szCs w:val="18"/>
              </w:rPr>
            </w:pPr>
          </w:p>
          <w:p w14:paraId="258D458C" w14:textId="6A17243B" w:rsidR="00447593" w:rsidRDefault="00447593" w:rsidP="001A378B">
            <w:pPr>
              <w:pStyle w:val="ListParagraph"/>
              <w:numPr>
                <w:ilvl w:val="0"/>
                <w:numId w:val="5"/>
              </w:numPr>
              <w:spacing w:after="80"/>
              <w:ind w:left="386" w:hanging="284"/>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47593">
              <w:rPr>
                <w:rFonts w:cstheme="minorHAnsi"/>
                <w:sz w:val="18"/>
                <w:szCs w:val="18"/>
              </w:rPr>
              <w:t>RANZCP training requirements for leave (</w:t>
            </w:r>
            <w:r w:rsidR="006B5D98" w:rsidRPr="00447593">
              <w:rPr>
                <w:rFonts w:cstheme="minorHAnsi"/>
                <w:sz w:val="18"/>
                <w:szCs w:val="18"/>
              </w:rPr>
              <w:t>i.e.</w:t>
            </w:r>
            <w:r w:rsidRPr="00447593">
              <w:rPr>
                <w:rFonts w:cstheme="minorHAnsi"/>
                <w:sz w:val="18"/>
                <w:szCs w:val="18"/>
              </w:rPr>
              <w:t xml:space="preserve"> max number of days taken in a rotation for the rotation to count).</w:t>
            </w:r>
          </w:p>
          <w:p w14:paraId="37B1C435" w14:textId="77777777" w:rsidR="00447593" w:rsidRPr="00447593" w:rsidRDefault="00447593" w:rsidP="00447593">
            <w:pPr>
              <w:pStyle w:val="ListParagraph"/>
              <w:cnfStyle w:val="000000000000" w:firstRow="0" w:lastRow="0" w:firstColumn="0" w:lastColumn="0" w:oddVBand="0" w:evenVBand="0" w:oddHBand="0" w:evenHBand="0" w:firstRowFirstColumn="0" w:firstRowLastColumn="0" w:lastRowFirstColumn="0" w:lastRowLastColumn="0"/>
              <w:rPr>
                <w:rFonts w:cstheme="minorHAnsi"/>
                <w:sz w:val="18"/>
                <w:szCs w:val="18"/>
              </w:rPr>
            </w:pPr>
          </w:p>
          <w:p w14:paraId="42450BAE" w14:textId="25CB436C" w:rsidR="00447593" w:rsidRPr="00447593" w:rsidRDefault="00447593" w:rsidP="00447593">
            <w:pPr>
              <w:pStyle w:val="ListParagraph"/>
              <w:numPr>
                <w:ilvl w:val="0"/>
                <w:numId w:val="5"/>
              </w:numPr>
              <w:spacing w:after="80"/>
              <w:ind w:left="386" w:hanging="284"/>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91ED7">
              <w:rPr>
                <w:rFonts w:cstheme="minorHAnsi"/>
                <w:sz w:val="18"/>
                <w:szCs w:val="18"/>
              </w:rPr>
              <w:t xml:space="preserve">Any relevant contacts </w:t>
            </w:r>
          </w:p>
        </w:tc>
      </w:tr>
      <w:tr w:rsidR="008552F2" w:rsidRPr="00591ED7" w14:paraId="04827B35" w14:textId="77777777" w:rsidTr="00D07A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none" w:sz="0" w:space="0" w:color="auto"/>
              <w:left w:val="none" w:sz="0" w:space="0" w:color="auto"/>
              <w:bottom w:val="none" w:sz="0" w:space="0" w:color="auto"/>
            </w:tcBorders>
          </w:tcPr>
          <w:p w14:paraId="764819CC" w14:textId="77777777" w:rsidR="008552F2" w:rsidRPr="00591ED7" w:rsidRDefault="008552F2" w:rsidP="00394536">
            <w:pPr>
              <w:pStyle w:val="Heading6"/>
              <w:spacing w:before="80" w:after="80"/>
              <w:outlineLvl w:val="5"/>
              <w:rPr>
                <w:rFonts w:asciiTheme="minorHAnsi" w:hAnsiTheme="minorHAnsi" w:cstheme="minorHAnsi"/>
                <w:b/>
                <w:sz w:val="18"/>
                <w:szCs w:val="18"/>
              </w:rPr>
            </w:pPr>
            <w:r w:rsidRPr="00591ED7">
              <w:rPr>
                <w:rFonts w:asciiTheme="minorHAnsi" w:hAnsiTheme="minorHAnsi" w:cstheme="minorHAnsi"/>
                <w:b/>
                <w:sz w:val="18"/>
                <w:szCs w:val="18"/>
              </w:rPr>
              <w:t>After hours information</w:t>
            </w:r>
          </w:p>
        </w:tc>
        <w:tc>
          <w:tcPr>
            <w:tcW w:w="3827" w:type="dxa"/>
            <w:tcBorders>
              <w:top w:val="none" w:sz="0" w:space="0" w:color="auto"/>
              <w:bottom w:val="none" w:sz="0" w:space="0" w:color="auto"/>
            </w:tcBorders>
          </w:tcPr>
          <w:p w14:paraId="47129494" w14:textId="41033EDA" w:rsidR="008552F2" w:rsidRPr="00591ED7" w:rsidRDefault="008552F2" w:rsidP="00394536">
            <w:pPr>
              <w:spacing w:before="80" w:after="80"/>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91ED7">
              <w:rPr>
                <w:rFonts w:cstheme="minorHAnsi"/>
                <w:sz w:val="18"/>
                <w:szCs w:val="18"/>
              </w:rPr>
              <w:t>To ensure clarity regarding the after</w:t>
            </w:r>
            <w:r w:rsidR="00042436" w:rsidRPr="00591ED7">
              <w:rPr>
                <w:rFonts w:cstheme="minorHAnsi"/>
                <w:sz w:val="18"/>
                <w:szCs w:val="18"/>
              </w:rPr>
              <w:t>-</w:t>
            </w:r>
            <w:r w:rsidRPr="00591ED7">
              <w:rPr>
                <w:rFonts w:cstheme="minorHAnsi"/>
                <w:sz w:val="18"/>
                <w:szCs w:val="18"/>
              </w:rPr>
              <w:t>hours responsibilities</w:t>
            </w:r>
            <w:r w:rsidR="00042436" w:rsidRPr="00591ED7">
              <w:rPr>
                <w:rFonts w:cstheme="minorHAnsi"/>
                <w:sz w:val="18"/>
                <w:szCs w:val="18"/>
              </w:rPr>
              <w:t>,</w:t>
            </w:r>
            <w:r w:rsidRPr="00591ED7">
              <w:rPr>
                <w:rFonts w:cstheme="minorHAnsi"/>
                <w:sz w:val="18"/>
                <w:szCs w:val="18"/>
              </w:rPr>
              <w:t xml:space="preserve"> it is helpful for services to include information on the Registrar role and responsibilities after</w:t>
            </w:r>
            <w:r w:rsidR="00042436" w:rsidRPr="00591ED7">
              <w:rPr>
                <w:rFonts w:cstheme="minorHAnsi"/>
                <w:sz w:val="18"/>
                <w:szCs w:val="18"/>
              </w:rPr>
              <w:t>-</w:t>
            </w:r>
            <w:r w:rsidRPr="00591ED7">
              <w:rPr>
                <w:rFonts w:cstheme="minorHAnsi"/>
                <w:sz w:val="18"/>
                <w:szCs w:val="18"/>
              </w:rPr>
              <w:t>hours. This may include:</w:t>
            </w:r>
          </w:p>
          <w:p w14:paraId="2EDADA24" w14:textId="77777777" w:rsidR="008552F2" w:rsidRPr="00591ED7" w:rsidRDefault="008552F2" w:rsidP="00394536">
            <w:pPr>
              <w:pStyle w:val="Heading6"/>
              <w:spacing w:before="80" w:after="80"/>
              <w:outlineLvl w:val="5"/>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5386" w:type="dxa"/>
            <w:tcBorders>
              <w:top w:val="none" w:sz="0" w:space="0" w:color="auto"/>
              <w:bottom w:val="none" w:sz="0" w:space="0" w:color="auto"/>
              <w:right w:val="none" w:sz="0" w:space="0" w:color="auto"/>
            </w:tcBorders>
          </w:tcPr>
          <w:p w14:paraId="1CEF71E5" w14:textId="7E0CCA7D" w:rsidR="008552F2" w:rsidRPr="00591ED7" w:rsidRDefault="008552F2" w:rsidP="00394536">
            <w:pPr>
              <w:pStyle w:val="ListParagraph"/>
              <w:numPr>
                <w:ilvl w:val="0"/>
                <w:numId w:val="5"/>
              </w:numPr>
              <w:spacing w:before="80" w:after="80"/>
              <w:ind w:left="384" w:hanging="283"/>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91ED7">
              <w:rPr>
                <w:rFonts w:cstheme="minorHAnsi"/>
                <w:sz w:val="18"/>
                <w:szCs w:val="18"/>
              </w:rPr>
              <w:t xml:space="preserve">After </w:t>
            </w:r>
            <w:r w:rsidR="006977E8" w:rsidRPr="00591ED7">
              <w:rPr>
                <w:rFonts w:cstheme="minorHAnsi"/>
                <w:sz w:val="18"/>
                <w:szCs w:val="18"/>
              </w:rPr>
              <w:t>hours’</w:t>
            </w:r>
            <w:r w:rsidRPr="00591ED7">
              <w:rPr>
                <w:rFonts w:cstheme="minorHAnsi"/>
                <w:sz w:val="18"/>
                <w:szCs w:val="18"/>
              </w:rPr>
              <w:t xml:space="preserve"> expectations including: </w:t>
            </w:r>
          </w:p>
          <w:p w14:paraId="28F1175D" w14:textId="77777777" w:rsidR="008552F2" w:rsidRPr="00591ED7" w:rsidRDefault="008552F2" w:rsidP="00394536">
            <w:pPr>
              <w:pStyle w:val="ListParagraph"/>
              <w:numPr>
                <w:ilvl w:val="0"/>
                <w:numId w:val="15"/>
              </w:numPr>
              <w:spacing w:before="80" w:after="80"/>
              <w:ind w:left="884" w:hanging="284"/>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91ED7">
              <w:rPr>
                <w:rFonts w:cstheme="minorHAnsi"/>
                <w:sz w:val="18"/>
                <w:szCs w:val="18"/>
              </w:rPr>
              <w:t>Registrar roles and responsibilities</w:t>
            </w:r>
          </w:p>
          <w:p w14:paraId="441A14F7" w14:textId="69294EB3" w:rsidR="00042436" w:rsidRPr="00591ED7" w:rsidRDefault="00042436" w:rsidP="00394536">
            <w:pPr>
              <w:pStyle w:val="ListParagraph"/>
              <w:numPr>
                <w:ilvl w:val="0"/>
                <w:numId w:val="15"/>
              </w:numPr>
              <w:spacing w:before="80" w:after="80"/>
              <w:ind w:left="884" w:hanging="284"/>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91ED7">
              <w:rPr>
                <w:rFonts w:cstheme="minorHAnsi"/>
                <w:sz w:val="18"/>
                <w:szCs w:val="18"/>
              </w:rPr>
              <w:t>When and how to contact the SMO-on-call</w:t>
            </w:r>
            <w:r w:rsidR="006058CA">
              <w:rPr>
                <w:rFonts w:cstheme="minorHAnsi"/>
                <w:sz w:val="18"/>
                <w:szCs w:val="18"/>
              </w:rPr>
              <w:t xml:space="preserve"> and on-call Manager (where applicable)</w:t>
            </w:r>
            <w:r w:rsidR="008A659D">
              <w:rPr>
                <w:rFonts w:cstheme="minorHAnsi"/>
                <w:sz w:val="18"/>
                <w:szCs w:val="18"/>
              </w:rPr>
              <w:t xml:space="preserve">. </w:t>
            </w:r>
          </w:p>
          <w:p w14:paraId="37A31AD4" w14:textId="4552D56D" w:rsidR="008552F2" w:rsidRPr="00591ED7" w:rsidRDefault="008552F2" w:rsidP="00394536">
            <w:pPr>
              <w:pStyle w:val="ListParagraph"/>
              <w:numPr>
                <w:ilvl w:val="0"/>
                <w:numId w:val="15"/>
              </w:numPr>
              <w:spacing w:before="80" w:after="80"/>
              <w:ind w:left="884" w:hanging="284"/>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91ED7">
              <w:rPr>
                <w:rFonts w:cstheme="minorHAnsi"/>
                <w:sz w:val="18"/>
                <w:szCs w:val="18"/>
              </w:rPr>
              <w:t xml:space="preserve">Roles and responsibilities of other groups after hours i.e. nursing staff, SMOs, </w:t>
            </w:r>
            <w:r w:rsidR="008A659D">
              <w:t>DAMHS or on-call managers</w:t>
            </w:r>
            <w:r w:rsidR="008A659D">
              <w:rPr>
                <w:rFonts w:cstheme="minorHAnsi"/>
                <w:sz w:val="18"/>
                <w:szCs w:val="18"/>
              </w:rPr>
              <w:t xml:space="preserve">, </w:t>
            </w:r>
            <w:r w:rsidRPr="00591ED7">
              <w:rPr>
                <w:rFonts w:cstheme="minorHAnsi"/>
                <w:sz w:val="18"/>
                <w:szCs w:val="18"/>
              </w:rPr>
              <w:t>House Officers etc.</w:t>
            </w:r>
          </w:p>
          <w:p w14:paraId="0748FB5B" w14:textId="77777777" w:rsidR="008552F2" w:rsidRPr="00591ED7" w:rsidRDefault="008552F2" w:rsidP="00394536">
            <w:pPr>
              <w:pStyle w:val="ListParagraph"/>
              <w:numPr>
                <w:ilvl w:val="0"/>
                <w:numId w:val="15"/>
              </w:numPr>
              <w:spacing w:before="80" w:after="80"/>
              <w:ind w:left="884" w:hanging="284"/>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91ED7">
              <w:rPr>
                <w:rFonts w:cstheme="minorHAnsi"/>
                <w:sz w:val="18"/>
                <w:szCs w:val="18"/>
              </w:rPr>
              <w:t xml:space="preserve">Information on the sites that Registrars are required to cover </w:t>
            </w:r>
          </w:p>
          <w:p w14:paraId="15DF785A" w14:textId="77777777" w:rsidR="008552F2" w:rsidRPr="00591ED7" w:rsidRDefault="008552F2" w:rsidP="00394536">
            <w:pPr>
              <w:pStyle w:val="ListParagraph"/>
              <w:numPr>
                <w:ilvl w:val="0"/>
                <w:numId w:val="15"/>
              </w:numPr>
              <w:spacing w:before="80" w:after="80"/>
              <w:ind w:left="884" w:hanging="284"/>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91ED7">
              <w:rPr>
                <w:rFonts w:cstheme="minorHAnsi"/>
                <w:sz w:val="18"/>
                <w:szCs w:val="18"/>
              </w:rPr>
              <w:t>Admissions/referral processes in place after hours</w:t>
            </w:r>
          </w:p>
          <w:p w14:paraId="3918C134" w14:textId="77777777" w:rsidR="008552F2" w:rsidRPr="00591ED7" w:rsidRDefault="008552F2" w:rsidP="00394536">
            <w:pPr>
              <w:pStyle w:val="ListParagraph"/>
              <w:numPr>
                <w:ilvl w:val="0"/>
                <w:numId w:val="15"/>
              </w:numPr>
              <w:spacing w:before="80" w:after="80"/>
              <w:ind w:left="884" w:hanging="284"/>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91ED7">
              <w:rPr>
                <w:rFonts w:cstheme="minorHAnsi"/>
                <w:sz w:val="18"/>
                <w:szCs w:val="18"/>
              </w:rPr>
              <w:t xml:space="preserve">Information on assessment of particular groups after hours i.e. youth, older adults </w:t>
            </w:r>
          </w:p>
          <w:p w14:paraId="1B51BB97" w14:textId="77777777" w:rsidR="008552F2" w:rsidRPr="00591ED7" w:rsidRDefault="008552F2" w:rsidP="001A378B">
            <w:pPr>
              <w:pStyle w:val="ListParagraph"/>
              <w:numPr>
                <w:ilvl w:val="0"/>
                <w:numId w:val="15"/>
              </w:numPr>
              <w:spacing w:after="0"/>
              <w:ind w:left="884" w:hanging="284"/>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91ED7">
              <w:rPr>
                <w:rFonts w:cstheme="minorHAnsi"/>
                <w:sz w:val="18"/>
                <w:szCs w:val="18"/>
              </w:rPr>
              <w:t>Information on handover expectations</w:t>
            </w:r>
          </w:p>
          <w:p w14:paraId="4B11EF5F" w14:textId="3AF2B51B" w:rsidR="003C2CDD" w:rsidRPr="00591ED7" w:rsidRDefault="003C2CDD" w:rsidP="001A378B">
            <w:pPr>
              <w:pStyle w:val="ListParagraph"/>
              <w:numPr>
                <w:ilvl w:val="0"/>
                <w:numId w:val="15"/>
              </w:numPr>
              <w:spacing w:after="0"/>
              <w:ind w:left="884" w:hanging="284"/>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91ED7">
              <w:rPr>
                <w:rFonts w:cstheme="minorHAnsi"/>
                <w:sz w:val="18"/>
                <w:szCs w:val="18"/>
              </w:rPr>
              <w:t>Who to escalate to if you are unable to reach an on call SMO</w:t>
            </w:r>
          </w:p>
          <w:p w14:paraId="2996619B" w14:textId="77777777" w:rsidR="001A378B" w:rsidRPr="00591ED7" w:rsidRDefault="001A378B" w:rsidP="001A378B">
            <w:pPr>
              <w:pStyle w:val="ListParagraph"/>
              <w:spacing w:after="0"/>
              <w:ind w:left="884"/>
              <w:cnfStyle w:val="000000100000" w:firstRow="0" w:lastRow="0" w:firstColumn="0" w:lastColumn="0" w:oddVBand="0" w:evenVBand="0" w:oddHBand="1" w:evenHBand="0" w:firstRowFirstColumn="0" w:firstRowLastColumn="0" w:lastRowFirstColumn="0" w:lastRowLastColumn="0"/>
              <w:rPr>
                <w:rFonts w:cstheme="minorHAnsi"/>
                <w:sz w:val="18"/>
                <w:szCs w:val="18"/>
              </w:rPr>
            </w:pPr>
          </w:p>
          <w:p w14:paraId="092B314F" w14:textId="1607F45E" w:rsidR="001A378B" w:rsidRPr="00591ED7" w:rsidRDefault="008552F2" w:rsidP="001A378B">
            <w:pPr>
              <w:pStyle w:val="ListParagraph"/>
              <w:numPr>
                <w:ilvl w:val="0"/>
                <w:numId w:val="5"/>
              </w:numPr>
              <w:spacing w:after="0"/>
              <w:ind w:left="384" w:hanging="283"/>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91ED7">
              <w:rPr>
                <w:rFonts w:cstheme="minorHAnsi"/>
                <w:sz w:val="18"/>
                <w:szCs w:val="18"/>
              </w:rPr>
              <w:t>Specific processes in place to ensure safety after</w:t>
            </w:r>
            <w:r w:rsidR="00042436" w:rsidRPr="00591ED7">
              <w:rPr>
                <w:rFonts w:cstheme="minorHAnsi"/>
                <w:sz w:val="18"/>
                <w:szCs w:val="18"/>
              </w:rPr>
              <w:t>-</w:t>
            </w:r>
            <w:r w:rsidRPr="00591ED7">
              <w:rPr>
                <w:rFonts w:cstheme="minorHAnsi"/>
                <w:sz w:val="18"/>
                <w:szCs w:val="18"/>
              </w:rPr>
              <w:t>hours</w:t>
            </w:r>
          </w:p>
          <w:p w14:paraId="590F4770" w14:textId="77777777" w:rsidR="008552F2" w:rsidRPr="00591ED7" w:rsidRDefault="008552F2" w:rsidP="001A378B">
            <w:pPr>
              <w:pStyle w:val="ListParagraph"/>
              <w:spacing w:after="0"/>
              <w:ind w:left="384"/>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91ED7">
              <w:rPr>
                <w:rFonts w:cstheme="minorHAnsi"/>
                <w:sz w:val="18"/>
                <w:szCs w:val="18"/>
              </w:rPr>
              <w:t xml:space="preserve"> </w:t>
            </w:r>
          </w:p>
          <w:p w14:paraId="3A34862E" w14:textId="77777777" w:rsidR="008552F2" w:rsidRPr="00591ED7" w:rsidRDefault="008552F2" w:rsidP="001A378B">
            <w:pPr>
              <w:pStyle w:val="ListParagraph"/>
              <w:numPr>
                <w:ilvl w:val="0"/>
                <w:numId w:val="5"/>
              </w:numPr>
              <w:spacing w:after="0"/>
              <w:ind w:left="384" w:hanging="283"/>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91ED7">
              <w:rPr>
                <w:rFonts w:cstheme="minorHAnsi"/>
                <w:sz w:val="18"/>
                <w:szCs w:val="18"/>
              </w:rPr>
              <w:t xml:space="preserve">Considerations for RMOs to ensure personal safety after hours </w:t>
            </w:r>
          </w:p>
          <w:p w14:paraId="0C0C5B2C" w14:textId="77777777" w:rsidR="001A378B" w:rsidRPr="00591ED7" w:rsidRDefault="001A378B" w:rsidP="001A378B">
            <w:pPr>
              <w:pStyle w:val="ListParagraph"/>
              <w:spacing w:after="0"/>
              <w:ind w:left="384"/>
              <w:cnfStyle w:val="000000100000" w:firstRow="0" w:lastRow="0" w:firstColumn="0" w:lastColumn="0" w:oddVBand="0" w:evenVBand="0" w:oddHBand="1" w:evenHBand="0" w:firstRowFirstColumn="0" w:firstRowLastColumn="0" w:lastRowFirstColumn="0" w:lastRowLastColumn="0"/>
              <w:rPr>
                <w:rFonts w:cstheme="minorHAnsi"/>
                <w:sz w:val="18"/>
                <w:szCs w:val="18"/>
              </w:rPr>
            </w:pPr>
          </w:p>
          <w:p w14:paraId="51124CE6" w14:textId="2637D7DE" w:rsidR="001A378B" w:rsidRPr="00591ED7" w:rsidRDefault="008552F2" w:rsidP="001A378B">
            <w:pPr>
              <w:pStyle w:val="ListParagraph"/>
              <w:numPr>
                <w:ilvl w:val="0"/>
                <w:numId w:val="5"/>
              </w:numPr>
              <w:spacing w:after="0"/>
              <w:ind w:left="384" w:hanging="283"/>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91ED7">
              <w:rPr>
                <w:rFonts w:cstheme="minorHAnsi"/>
                <w:sz w:val="18"/>
                <w:szCs w:val="18"/>
              </w:rPr>
              <w:t>Key contacts for the after</w:t>
            </w:r>
            <w:r w:rsidR="00042436" w:rsidRPr="00591ED7">
              <w:rPr>
                <w:rFonts w:cstheme="minorHAnsi"/>
                <w:sz w:val="18"/>
                <w:szCs w:val="18"/>
              </w:rPr>
              <w:t>-</w:t>
            </w:r>
            <w:r w:rsidRPr="00591ED7">
              <w:rPr>
                <w:rFonts w:cstheme="minorHAnsi"/>
                <w:sz w:val="18"/>
                <w:szCs w:val="18"/>
              </w:rPr>
              <w:t>hours RMO</w:t>
            </w:r>
            <w:r w:rsidR="003C2CDD" w:rsidRPr="00591ED7">
              <w:rPr>
                <w:rFonts w:cstheme="minorHAnsi"/>
                <w:sz w:val="18"/>
                <w:szCs w:val="18"/>
              </w:rPr>
              <w:t xml:space="preserve"> including relevant phone numbers.</w:t>
            </w:r>
          </w:p>
          <w:p w14:paraId="461CE9F2" w14:textId="77777777" w:rsidR="001A378B" w:rsidRPr="00591ED7" w:rsidRDefault="001A378B" w:rsidP="001A378B">
            <w:pPr>
              <w:pStyle w:val="ListParagraph"/>
              <w:spacing w:after="0"/>
              <w:ind w:left="384"/>
              <w:cnfStyle w:val="000000100000" w:firstRow="0" w:lastRow="0" w:firstColumn="0" w:lastColumn="0" w:oddVBand="0" w:evenVBand="0" w:oddHBand="1" w:evenHBand="0" w:firstRowFirstColumn="0" w:firstRowLastColumn="0" w:lastRowFirstColumn="0" w:lastRowLastColumn="0"/>
              <w:rPr>
                <w:rFonts w:cstheme="minorHAnsi"/>
                <w:sz w:val="18"/>
                <w:szCs w:val="18"/>
              </w:rPr>
            </w:pPr>
          </w:p>
          <w:p w14:paraId="01E657FC" w14:textId="4BDBF4C3" w:rsidR="00447593" w:rsidRPr="008A659D" w:rsidRDefault="008552F2" w:rsidP="008A659D">
            <w:pPr>
              <w:pStyle w:val="ListParagraph"/>
              <w:numPr>
                <w:ilvl w:val="0"/>
                <w:numId w:val="5"/>
              </w:numPr>
              <w:spacing w:after="80"/>
              <w:ind w:left="386" w:hanging="284"/>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91ED7">
              <w:rPr>
                <w:rFonts w:cstheme="minorHAnsi"/>
                <w:sz w:val="18"/>
                <w:szCs w:val="18"/>
              </w:rPr>
              <w:t>Information regarding the after</w:t>
            </w:r>
            <w:r w:rsidR="00042436" w:rsidRPr="00591ED7">
              <w:rPr>
                <w:rFonts w:cstheme="minorHAnsi"/>
                <w:sz w:val="18"/>
                <w:szCs w:val="18"/>
              </w:rPr>
              <w:t>-</w:t>
            </w:r>
            <w:r w:rsidRPr="00591ED7">
              <w:rPr>
                <w:rFonts w:cstheme="minorHAnsi"/>
                <w:sz w:val="18"/>
                <w:szCs w:val="18"/>
              </w:rPr>
              <w:t>hours roster i.e. roster start and end times</w:t>
            </w:r>
            <w:r w:rsidR="008A659D">
              <w:rPr>
                <w:rFonts w:cstheme="minorHAnsi"/>
                <w:sz w:val="18"/>
                <w:szCs w:val="18"/>
              </w:rPr>
              <w:t xml:space="preserve"> including clear information regarding handover expectations. </w:t>
            </w:r>
          </w:p>
          <w:p w14:paraId="67B64E96" w14:textId="77777777" w:rsidR="003C2CDD" w:rsidRPr="00591ED7" w:rsidRDefault="003C2CDD" w:rsidP="003C2CDD">
            <w:pPr>
              <w:pStyle w:val="ListParagraph"/>
              <w:cnfStyle w:val="000000100000" w:firstRow="0" w:lastRow="0" w:firstColumn="0" w:lastColumn="0" w:oddVBand="0" w:evenVBand="0" w:oddHBand="1" w:evenHBand="0" w:firstRowFirstColumn="0" w:firstRowLastColumn="0" w:lastRowFirstColumn="0" w:lastRowLastColumn="0"/>
              <w:rPr>
                <w:rFonts w:cstheme="minorHAnsi"/>
                <w:sz w:val="18"/>
                <w:szCs w:val="18"/>
              </w:rPr>
            </w:pPr>
          </w:p>
          <w:p w14:paraId="5E47D350" w14:textId="2EA3A5A9" w:rsidR="003C2CDD" w:rsidRPr="00591ED7" w:rsidRDefault="003C2CDD" w:rsidP="001A378B">
            <w:pPr>
              <w:pStyle w:val="ListParagraph"/>
              <w:numPr>
                <w:ilvl w:val="0"/>
                <w:numId w:val="5"/>
              </w:numPr>
              <w:spacing w:after="80"/>
              <w:ind w:left="386" w:hanging="284"/>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91ED7">
              <w:rPr>
                <w:rFonts w:cstheme="minorHAnsi"/>
                <w:sz w:val="18"/>
                <w:szCs w:val="18"/>
              </w:rPr>
              <w:t>Information on the sick leave process/who to contact if you are sick shortly before or during your after hours shift</w:t>
            </w:r>
          </w:p>
        </w:tc>
      </w:tr>
      <w:tr w:rsidR="008552F2" w:rsidRPr="00591ED7" w14:paraId="657CF5B7" w14:textId="77777777" w:rsidTr="00D07A6D">
        <w:tc>
          <w:tcPr>
            <w:cnfStyle w:val="001000000000" w:firstRow="0" w:lastRow="0" w:firstColumn="1" w:lastColumn="0" w:oddVBand="0" w:evenVBand="0" w:oddHBand="0" w:evenHBand="0" w:firstRowFirstColumn="0" w:firstRowLastColumn="0" w:lastRowFirstColumn="0" w:lastRowLastColumn="0"/>
            <w:tcW w:w="1560" w:type="dxa"/>
          </w:tcPr>
          <w:p w14:paraId="1CBD5D3F" w14:textId="5049B88D" w:rsidR="008552F2" w:rsidRPr="00591ED7" w:rsidRDefault="008552F2" w:rsidP="00394536">
            <w:pPr>
              <w:pStyle w:val="Heading6"/>
              <w:spacing w:before="80" w:after="80"/>
              <w:outlineLvl w:val="5"/>
              <w:rPr>
                <w:rFonts w:asciiTheme="minorHAnsi" w:hAnsiTheme="minorHAnsi" w:cstheme="minorHAnsi"/>
                <w:b/>
                <w:sz w:val="18"/>
                <w:szCs w:val="18"/>
              </w:rPr>
            </w:pPr>
            <w:r w:rsidRPr="00591ED7">
              <w:rPr>
                <w:rFonts w:asciiTheme="minorHAnsi" w:hAnsiTheme="minorHAnsi" w:cstheme="minorHAnsi"/>
                <w:b/>
                <w:sz w:val="18"/>
                <w:szCs w:val="18"/>
              </w:rPr>
              <w:t>Information on protocol</w:t>
            </w:r>
            <w:r w:rsidR="006B5D98" w:rsidRPr="00591ED7">
              <w:rPr>
                <w:rFonts w:asciiTheme="minorHAnsi" w:hAnsiTheme="minorHAnsi" w:cstheme="minorHAnsi"/>
                <w:b/>
                <w:sz w:val="18"/>
                <w:szCs w:val="18"/>
              </w:rPr>
              <w:t>, treatments</w:t>
            </w:r>
            <w:r w:rsidRPr="00591ED7">
              <w:rPr>
                <w:rFonts w:asciiTheme="minorHAnsi" w:hAnsiTheme="minorHAnsi" w:cstheme="minorHAnsi"/>
                <w:b/>
                <w:sz w:val="18"/>
                <w:szCs w:val="18"/>
              </w:rPr>
              <w:t>, Mental Health Act etc.</w:t>
            </w:r>
          </w:p>
        </w:tc>
        <w:tc>
          <w:tcPr>
            <w:tcW w:w="3827" w:type="dxa"/>
          </w:tcPr>
          <w:p w14:paraId="27AF0E2F" w14:textId="347E8BB0" w:rsidR="008552F2" w:rsidRPr="00591ED7" w:rsidRDefault="008552F2" w:rsidP="00394536">
            <w:pPr>
              <w:spacing w:before="80" w:after="8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91ED7">
              <w:rPr>
                <w:rFonts w:cstheme="minorHAnsi"/>
                <w:sz w:val="18"/>
                <w:szCs w:val="18"/>
              </w:rPr>
              <w:t xml:space="preserve">For RMOs new to the </w:t>
            </w:r>
            <w:r w:rsidR="0086386F">
              <w:rPr>
                <w:rFonts w:cstheme="minorHAnsi"/>
                <w:sz w:val="18"/>
                <w:szCs w:val="18"/>
              </w:rPr>
              <w:t>District</w:t>
            </w:r>
            <w:r w:rsidRPr="00591ED7">
              <w:rPr>
                <w:rFonts w:cstheme="minorHAnsi"/>
                <w:sz w:val="18"/>
                <w:szCs w:val="18"/>
              </w:rPr>
              <w:t xml:space="preserve"> and/or to the New Zealand Health system, it may be helpful for services to include links to any relevant information on the </w:t>
            </w:r>
            <w:r w:rsidR="0086386F">
              <w:rPr>
                <w:rFonts w:cstheme="minorHAnsi"/>
                <w:sz w:val="18"/>
                <w:szCs w:val="18"/>
              </w:rPr>
              <w:t>District</w:t>
            </w:r>
            <w:r w:rsidRPr="00591ED7">
              <w:rPr>
                <w:rFonts w:cstheme="minorHAnsi"/>
                <w:sz w:val="18"/>
                <w:szCs w:val="18"/>
              </w:rPr>
              <w:t xml:space="preserve"> sites. This may include:</w:t>
            </w:r>
          </w:p>
        </w:tc>
        <w:tc>
          <w:tcPr>
            <w:tcW w:w="5386" w:type="dxa"/>
          </w:tcPr>
          <w:p w14:paraId="01BFE1D1" w14:textId="60EC89A0" w:rsidR="008552F2" w:rsidRPr="00591ED7" w:rsidRDefault="008552F2" w:rsidP="00394536">
            <w:pPr>
              <w:pStyle w:val="ListParagraph"/>
              <w:numPr>
                <w:ilvl w:val="0"/>
                <w:numId w:val="5"/>
              </w:numPr>
              <w:spacing w:before="80" w:after="80"/>
              <w:ind w:left="384" w:hanging="283"/>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91ED7">
              <w:rPr>
                <w:rFonts w:cstheme="minorHAnsi"/>
                <w:sz w:val="18"/>
                <w:szCs w:val="18"/>
              </w:rPr>
              <w:t>Information on treatment of patients with different mental health concerns</w:t>
            </w:r>
            <w:r w:rsidR="00322D6A" w:rsidRPr="00591ED7">
              <w:rPr>
                <w:rFonts w:cstheme="minorHAnsi"/>
                <w:sz w:val="18"/>
                <w:szCs w:val="18"/>
              </w:rPr>
              <w:t xml:space="preserve"> for example </w:t>
            </w:r>
            <w:r w:rsidR="00322D6A" w:rsidRPr="00591ED7">
              <w:rPr>
                <w:rFonts w:cstheme="minorHAnsi"/>
                <w:noProof/>
                <w:sz w:val="18"/>
                <w:szCs w:val="18"/>
              </w:rPr>
              <w:t xml:space="preserve">health Navigator </w:t>
            </w:r>
            <w:hyperlink r:id="rId14" w:history="1">
              <w:r w:rsidR="00322D6A" w:rsidRPr="00591ED7">
                <w:rPr>
                  <w:rStyle w:val="Hyperlink"/>
                  <w:rFonts w:cstheme="minorHAnsi"/>
                  <w:noProof/>
                  <w:sz w:val="18"/>
                  <w:szCs w:val="18"/>
                </w:rPr>
                <w:t>https://www.healthnavigator.org.nz/</w:t>
              </w:r>
            </w:hyperlink>
            <w:r w:rsidR="00322D6A" w:rsidRPr="00591ED7">
              <w:rPr>
                <w:rFonts w:cstheme="minorHAnsi"/>
                <w:noProof/>
                <w:sz w:val="18"/>
                <w:szCs w:val="18"/>
              </w:rPr>
              <w:t xml:space="preserve"> </w:t>
            </w:r>
          </w:p>
          <w:p w14:paraId="3946C001" w14:textId="77777777" w:rsidR="001A378B" w:rsidRPr="00591ED7" w:rsidRDefault="001A378B" w:rsidP="001A378B">
            <w:pPr>
              <w:pStyle w:val="ListParagraph"/>
              <w:spacing w:after="0"/>
              <w:ind w:left="386"/>
              <w:cnfStyle w:val="000000000000" w:firstRow="0" w:lastRow="0" w:firstColumn="0" w:lastColumn="0" w:oddVBand="0" w:evenVBand="0" w:oddHBand="0" w:evenHBand="0" w:firstRowFirstColumn="0" w:firstRowLastColumn="0" w:lastRowFirstColumn="0" w:lastRowLastColumn="0"/>
              <w:rPr>
                <w:rFonts w:cstheme="minorHAnsi"/>
                <w:sz w:val="18"/>
                <w:szCs w:val="18"/>
              </w:rPr>
            </w:pPr>
          </w:p>
          <w:p w14:paraId="1E6FE7DA" w14:textId="43FFFE68" w:rsidR="003E68E6" w:rsidRPr="003E68E6" w:rsidRDefault="008552F2" w:rsidP="003E68E6">
            <w:pPr>
              <w:pStyle w:val="ListParagraph"/>
              <w:numPr>
                <w:ilvl w:val="0"/>
                <w:numId w:val="5"/>
              </w:numPr>
              <w:spacing w:after="0"/>
              <w:ind w:left="386" w:hanging="284"/>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E68E6">
              <w:rPr>
                <w:rFonts w:cstheme="minorHAnsi"/>
                <w:sz w:val="18"/>
                <w:szCs w:val="18"/>
              </w:rPr>
              <w:t>Information on the NZ Mental Health Act</w:t>
            </w:r>
            <w:r w:rsidR="003E68E6" w:rsidRPr="003E68E6">
              <w:rPr>
                <w:rFonts w:cstheme="minorHAnsi"/>
                <w:sz w:val="18"/>
                <w:szCs w:val="18"/>
              </w:rPr>
              <w:t xml:space="preserve"> including information on the </w:t>
            </w:r>
            <w:r w:rsidR="003E68E6">
              <w:rPr>
                <w:rFonts w:cstheme="minorHAnsi"/>
                <w:sz w:val="18"/>
                <w:szCs w:val="18"/>
              </w:rPr>
              <w:t>r</w:t>
            </w:r>
            <w:r w:rsidR="003E68E6" w:rsidRPr="003E68E6">
              <w:rPr>
                <w:rFonts w:cstheme="minorHAnsi"/>
                <w:sz w:val="18"/>
                <w:szCs w:val="18"/>
              </w:rPr>
              <w:t xml:space="preserve">ole of the Director of Area Mental Health Services (DAMHS) </w:t>
            </w:r>
          </w:p>
          <w:p w14:paraId="50F5153F" w14:textId="77777777" w:rsidR="001A378B" w:rsidRPr="00591ED7" w:rsidRDefault="001A378B" w:rsidP="001A378B">
            <w:pPr>
              <w:pStyle w:val="ListParagraph"/>
              <w:spacing w:after="0"/>
              <w:ind w:left="384"/>
              <w:cnfStyle w:val="000000000000" w:firstRow="0" w:lastRow="0" w:firstColumn="0" w:lastColumn="0" w:oddVBand="0" w:evenVBand="0" w:oddHBand="0" w:evenHBand="0" w:firstRowFirstColumn="0" w:firstRowLastColumn="0" w:lastRowFirstColumn="0" w:lastRowLastColumn="0"/>
              <w:rPr>
                <w:rFonts w:cstheme="minorHAnsi"/>
                <w:sz w:val="18"/>
                <w:szCs w:val="18"/>
              </w:rPr>
            </w:pPr>
          </w:p>
          <w:p w14:paraId="653CF16B" w14:textId="77777777" w:rsidR="001A378B" w:rsidRPr="00591ED7" w:rsidRDefault="008552F2" w:rsidP="001A378B">
            <w:pPr>
              <w:pStyle w:val="ListParagraph"/>
              <w:numPr>
                <w:ilvl w:val="0"/>
                <w:numId w:val="5"/>
              </w:numPr>
              <w:spacing w:after="0"/>
              <w:ind w:left="384" w:hanging="283"/>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91ED7">
              <w:rPr>
                <w:rFonts w:cstheme="minorHAnsi"/>
                <w:sz w:val="18"/>
                <w:szCs w:val="18"/>
              </w:rPr>
              <w:t>Any policies or protocols regarding specific treatments</w:t>
            </w:r>
          </w:p>
          <w:p w14:paraId="6E068669" w14:textId="77777777" w:rsidR="001A378B" w:rsidRPr="00591ED7" w:rsidRDefault="001A378B" w:rsidP="001A378B">
            <w:pPr>
              <w:pStyle w:val="ListParagraph"/>
              <w:spacing w:after="0"/>
              <w:ind w:left="384"/>
              <w:cnfStyle w:val="000000000000" w:firstRow="0" w:lastRow="0" w:firstColumn="0" w:lastColumn="0" w:oddVBand="0" w:evenVBand="0" w:oddHBand="0" w:evenHBand="0" w:firstRowFirstColumn="0" w:firstRowLastColumn="0" w:lastRowFirstColumn="0" w:lastRowLastColumn="0"/>
              <w:rPr>
                <w:rFonts w:cstheme="minorHAnsi"/>
                <w:sz w:val="18"/>
                <w:szCs w:val="18"/>
              </w:rPr>
            </w:pPr>
          </w:p>
          <w:p w14:paraId="0B5F639B" w14:textId="012262AD" w:rsidR="008552F2" w:rsidRPr="00591ED7" w:rsidRDefault="008552F2" w:rsidP="00394536">
            <w:pPr>
              <w:pStyle w:val="ListParagraph"/>
              <w:numPr>
                <w:ilvl w:val="0"/>
                <w:numId w:val="5"/>
              </w:numPr>
              <w:spacing w:before="80" w:after="80"/>
              <w:ind w:left="384" w:hanging="283"/>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91ED7">
              <w:rPr>
                <w:rFonts w:cstheme="minorHAnsi"/>
                <w:sz w:val="18"/>
                <w:szCs w:val="18"/>
              </w:rPr>
              <w:t>Any relevant information regarding Pharmaceuticals</w:t>
            </w:r>
            <w:r w:rsidR="00322D6A" w:rsidRPr="00591ED7">
              <w:rPr>
                <w:rFonts w:cstheme="minorHAnsi"/>
                <w:sz w:val="18"/>
                <w:szCs w:val="18"/>
              </w:rPr>
              <w:t xml:space="preserve"> including where to find the rapid tranquilisation protocol (or equivalent)</w:t>
            </w:r>
          </w:p>
        </w:tc>
      </w:tr>
      <w:tr w:rsidR="008552F2" w:rsidRPr="00591ED7" w14:paraId="26A55028" w14:textId="77777777" w:rsidTr="00D07A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none" w:sz="0" w:space="0" w:color="auto"/>
              <w:left w:val="none" w:sz="0" w:space="0" w:color="auto"/>
              <w:bottom w:val="none" w:sz="0" w:space="0" w:color="auto"/>
            </w:tcBorders>
          </w:tcPr>
          <w:p w14:paraId="05EB6778" w14:textId="77777777" w:rsidR="008552F2" w:rsidRPr="00591ED7" w:rsidRDefault="008552F2" w:rsidP="00394536">
            <w:pPr>
              <w:spacing w:before="80" w:after="80"/>
              <w:rPr>
                <w:rFonts w:cstheme="minorHAnsi"/>
                <w:sz w:val="18"/>
                <w:szCs w:val="18"/>
              </w:rPr>
            </w:pPr>
            <w:r w:rsidRPr="00591ED7">
              <w:rPr>
                <w:rFonts w:cstheme="minorHAnsi"/>
                <w:sz w:val="18"/>
                <w:szCs w:val="18"/>
              </w:rPr>
              <w:lastRenderedPageBreak/>
              <w:t xml:space="preserve">Information on service(s) </w:t>
            </w:r>
          </w:p>
          <w:p w14:paraId="32ED0EFB" w14:textId="77777777" w:rsidR="008552F2" w:rsidRPr="00591ED7" w:rsidRDefault="008552F2" w:rsidP="00394536">
            <w:pPr>
              <w:pStyle w:val="Heading6"/>
              <w:spacing w:before="80" w:after="80"/>
              <w:outlineLvl w:val="5"/>
              <w:rPr>
                <w:rFonts w:asciiTheme="minorHAnsi" w:hAnsiTheme="minorHAnsi" w:cstheme="minorHAnsi"/>
                <w:b/>
                <w:sz w:val="18"/>
                <w:szCs w:val="18"/>
              </w:rPr>
            </w:pPr>
          </w:p>
        </w:tc>
        <w:tc>
          <w:tcPr>
            <w:tcW w:w="3827" w:type="dxa"/>
            <w:tcBorders>
              <w:top w:val="none" w:sz="0" w:space="0" w:color="auto"/>
              <w:bottom w:val="none" w:sz="0" w:space="0" w:color="auto"/>
            </w:tcBorders>
          </w:tcPr>
          <w:p w14:paraId="4B64895A" w14:textId="1FDB2A02" w:rsidR="008552F2" w:rsidRPr="00591ED7" w:rsidRDefault="008552F2" w:rsidP="00394536">
            <w:pPr>
              <w:spacing w:before="80" w:after="80"/>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91ED7">
              <w:rPr>
                <w:rFonts w:cstheme="minorHAnsi"/>
                <w:sz w:val="18"/>
                <w:szCs w:val="18"/>
              </w:rPr>
              <w:t xml:space="preserve">For RMOs new to the </w:t>
            </w:r>
            <w:r w:rsidR="0086386F">
              <w:rPr>
                <w:rFonts w:cstheme="minorHAnsi"/>
                <w:sz w:val="18"/>
                <w:szCs w:val="18"/>
              </w:rPr>
              <w:t>District</w:t>
            </w:r>
            <w:r w:rsidRPr="00591ED7">
              <w:rPr>
                <w:rFonts w:cstheme="minorHAnsi"/>
                <w:sz w:val="18"/>
                <w:szCs w:val="18"/>
              </w:rPr>
              <w:t xml:space="preserve"> it may be helpful for services to include an overview of the mental health wards/services within the </w:t>
            </w:r>
            <w:r w:rsidR="0086386F">
              <w:rPr>
                <w:rFonts w:cstheme="minorHAnsi"/>
                <w:sz w:val="18"/>
                <w:szCs w:val="18"/>
              </w:rPr>
              <w:t>District</w:t>
            </w:r>
            <w:r w:rsidRPr="00591ED7">
              <w:rPr>
                <w:rFonts w:cstheme="minorHAnsi"/>
                <w:sz w:val="18"/>
                <w:szCs w:val="18"/>
              </w:rPr>
              <w:t xml:space="preserve"> for example</w:t>
            </w:r>
          </w:p>
        </w:tc>
        <w:tc>
          <w:tcPr>
            <w:tcW w:w="5386" w:type="dxa"/>
            <w:tcBorders>
              <w:top w:val="none" w:sz="0" w:space="0" w:color="auto"/>
              <w:bottom w:val="none" w:sz="0" w:space="0" w:color="auto"/>
              <w:right w:val="none" w:sz="0" w:space="0" w:color="auto"/>
            </w:tcBorders>
          </w:tcPr>
          <w:p w14:paraId="6AF61730" w14:textId="77777777" w:rsidR="008552F2" w:rsidRPr="00591ED7" w:rsidRDefault="008552F2" w:rsidP="00394536">
            <w:pPr>
              <w:pStyle w:val="ListParagraph"/>
              <w:numPr>
                <w:ilvl w:val="0"/>
                <w:numId w:val="5"/>
              </w:numPr>
              <w:spacing w:before="80" w:after="80"/>
              <w:ind w:left="384" w:hanging="283"/>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91ED7">
              <w:rPr>
                <w:rFonts w:cstheme="minorHAnsi"/>
                <w:sz w:val="18"/>
                <w:szCs w:val="18"/>
              </w:rPr>
              <w:t>Ward number or street address of community sites</w:t>
            </w:r>
          </w:p>
          <w:p w14:paraId="7DE46FF0" w14:textId="77777777" w:rsidR="001A378B" w:rsidRPr="00591ED7" w:rsidRDefault="001A378B" w:rsidP="001A378B">
            <w:pPr>
              <w:pStyle w:val="ListParagraph"/>
              <w:spacing w:after="0"/>
              <w:ind w:left="384"/>
              <w:cnfStyle w:val="000000100000" w:firstRow="0" w:lastRow="0" w:firstColumn="0" w:lastColumn="0" w:oddVBand="0" w:evenVBand="0" w:oddHBand="1" w:evenHBand="0" w:firstRowFirstColumn="0" w:firstRowLastColumn="0" w:lastRowFirstColumn="0" w:lastRowLastColumn="0"/>
              <w:rPr>
                <w:rFonts w:cstheme="minorHAnsi"/>
                <w:sz w:val="18"/>
                <w:szCs w:val="18"/>
              </w:rPr>
            </w:pPr>
          </w:p>
          <w:p w14:paraId="3FA752C8" w14:textId="77777777" w:rsidR="008552F2" w:rsidRPr="00591ED7" w:rsidRDefault="008552F2" w:rsidP="001A378B">
            <w:pPr>
              <w:pStyle w:val="ListParagraph"/>
              <w:numPr>
                <w:ilvl w:val="0"/>
                <w:numId w:val="5"/>
              </w:numPr>
              <w:spacing w:after="0"/>
              <w:ind w:left="386" w:hanging="284"/>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91ED7">
              <w:rPr>
                <w:rFonts w:cstheme="minorHAnsi"/>
                <w:sz w:val="18"/>
                <w:szCs w:val="18"/>
              </w:rPr>
              <w:t>Bed numbers</w:t>
            </w:r>
          </w:p>
          <w:p w14:paraId="111FA198" w14:textId="77777777" w:rsidR="001A378B" w:rsidRPr="00591ED7" w:rsidRDefault="001A378B" w:rsidP="001A378B">
            <w:pPr>
              <w:spacing w:after="0"/>
              <w:cnfStyle w:val="000000100000" w:firstRow="0" w:lastRow="0" w:firstColumn="0" w:lastColumn="0" w:oddVBand="0" w:evenVBand="0" w:oddHBand="1" w:evenHBand="0" w:firstRowFirstColumn="0" w:firstRowLastColumn="0" w:lastRowFirstColumn="0" w:lastRowLastColumn="0"/>
              <w:rPr>
                <w:rFonts w:cstheme="minorHAnsi"/>
                <w:sz w:val="18"/>
                <w:szCs w:val="18"/>
              </w:rPr>
            </w:pPr>
          </w:p>
          <w:p w14:paraId="602E1106" w14:textId="77777777" w:rsidR="008E3F08" w:rsidRDefault="008552F2" w:rsidP="00322D6A">
            <w:pPr>
              <w:pStyle w:val="ListParagraph"/>
              <w:numPr>
                <w:ilvl w:val="0"/>
                <w:numId w:val="5"/>
              </w:numPr>
              <w:spacing w:after="80"/>
              <w:ind w:left="386" w:hanging="284"/>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91ED7">
              <w:rPr>
                <w:rFonts w:cstheme="minorHAnsi"/>
                <w:sz w:val="18"/>
                <w:szCs w:val="18"/>
              </w:rPr>
              <w:t>Service information i.e. type of patients treated on the ward/community site</w:t>
            </w:r>
            <w:r w:rsidR="00322D6A" w:rsidRPr="00591ED7">
              <w:rPr>
                <w:rFonts w:cstheme="minorHAnsi"/>
                <w:sz w:val="18"/>
                <w:szCs w:val="18"/>
              </w:rPr>
              <w:t>, any nuances of local community sites</w:t>
            </w:r>
          </w:p>
          <w:p w14:paraId="6DE4D342" w14:textId="77777777" w:rsidR="00447593" w:rsidRPr="00447593" w:rsidRDefault="00447593" w:rsidP="00447593">
            <w:pPr>
              <w:pStyle w:val="ListParagraph"/>
              <w:cnfStyle w:val="000000100000" w:firstRow="0" w:lastRow="0" w:firstColumn="0" w:lastColumn="0" w:oddVBand="0" w:evenVBand="0" w:oddHBand="1" w:evenHBand="0" w:firstRowFirstColumn="0" w:firstRowLastColumn="0" w:lastRowFirstColumn="0" w:lastRowLastColumn="0"/>
              <w:rPr>
                <w:rFonts w:cstheme="minorHAnsi"/>
                <w:sz w:val="18"/>
                <w:szCs w:val="18"/>
              </w:rPr>
            </w:pPr>
          </w:p>
          <w:p w14:paraId="5FC3AACB" w14:textId="2CD3F02F" w:rsidR="00447593" w:rsidRDefault="00447593" w:rsidP="00447593">
            <w:pPr>
              <w:pStyle w:val="ListParagraph"/>
              <w:numPr>
                <w:ilvl w:val="0"/>
                <w:numId w:val="5"/>
              </w:numPr>
              <w:spacing w:after="80"/>
              <w:ind w:left="386" w:hanging="284"/>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Information on the service key contacts for medical issues and/or level of nursing care available.</w:t>
            </w:r>
          </w:p>
          <w:p w14:paraId="1AD1609F" w14:textId="77777777" w:rsidR="0086386F" w:rsidRPr="0086386F" w:rsidRDefault="0086386F" w:rsidP="0086386F">
            <w:pPr>
              <w:pStyle w:val="ListParagraph"/>
              <w:cnfStyle w:val="000000100000" w:firstRow="0" w:lastRow="0" w:firstColumn="0" w:lastColumn="0" w:oddVBand="0" w:evenVBand="0" w:oddHBand="1" w:evenHBand="0" w:firstRowFirstColumn="0" w:firstRowLastColumn="0" w:lastRowFirstColumn="0" w:lastRowLastColumn="0"/>
              <w:rPr>
                <w:rFonts w:cstheme="minorHAnsi"/>
                <w:sz w:val="18"/>
                <w:szCs w:val="18"/>
              </w:rPr>
            </w:pPr>
          </w:p>
          <w:p w14:paraId="0586FD05" w14:textId="35E74B32" w:rsidR="00316077" w:rsidRPr="00447593" w:rsidRDefault="008A659D" w:rsidP="008A659D">
            <w:pPr>
              <w:pStyle w:val="ListParagraph"/>
              <w:numPr>
                <w:ilvl w:val="0"/>
                <w:numId w:val="5"/>
              </w:numPr>
              <w:spacing w:after="80"/>
              <w:ind w:left="386" w:hanging="284"/>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86386F">
              <w:rPr>
                <w:rFonts w:cstheme="minorHAnsi"/>
                <w:sz w:val="18"/>
                <w:szCs w:val="18"/>
              </w:rPr>
              <w:t xml:space="preserve">Any relevant regional policies in regard to the assessment and treatment of patients outside their home </w:t>
            </w:r>
            <w:r w:rsidR="0086386F" w:rsidRPr="0086386F">
              <w:rPr>
                <w:rFonts w:cstheme="minorHAnsi"/>
                <w:sz w:val="18"/>
                <w:szCs w:val="18"/>
              </w:rPr>
              <w:t>District</w:t>
            </w:r>
            <w:r>
              <w:rPr>
                <w:rFonts w:cstheme="minorHAnsi"/>
                <w:sz w:val="18"/>
                <w:szCs w:val="18"/>
              </w:rPr>
              <w:t xml:space="preserve"> </w:t>
            </w:r>
          </w:p>
        </w:tc>
      </w:tr>
      <w:tr w:rsidR="008552F2" w:rsidRPr="00591ED7" w14:paraId="6D0A8847" w14:textId="77777777" w:rsidTr="00D07A6D">
        <w:tc>
          <w:tcPr>
            <w:cnfStyle w:val="001000000000" w:firstRow="0" w:lastRow="0" w:firstColumn="1" w:lastColumn="0" w:oddVBand="0" w:evenVBand="0" w:oddHBand="0" w:evenHBand="0" w:firstRowFirstColumn="0" w:firstRowLastColumn="0" w:lastRowFirstColumn="0" w:lastRowLastColumn="0"/>
            <w:tcW w:w="1560" w:type="dxa"/>
          </w:tcPr>
          <w:p w14:paraId="2F00CFDF" w14:textId="77777777" w:rsidR="008552F2" w:rsidRPr="00591ED7" w:rsidRDefault="008552F2" w:rsidP="00394536">
            <w:pPr>
              <w:spacing w:before="80" w:after="80"/>
              <w:rPr>
                <w:rFonts w:cstheme="minorHAnsi"/>
                <w:sz w:val="18"/>
                <w:szCs w:val="18"/>
              </w:rPr>
            </w:pPr>
            <w:r w:rsidRPr="00591ED7">
              <w:rPr>
                <w:rFonts w:cstheme="minorHAnsi"/>
                <w:sz w:val="18"/>
                <w:szCs w:val="18"/>
              </w:rPr>
              <w:t xml:space="preserve">General Information </w:t>
            </w:r>
          </w:p>
          <w:p w14:paraId="4D336079" w14:textId="77777777" w:rsidR="008552F2" w:rsidRPr="00591ED7" w:rsidRDefault="008552F2" w:rsidP="00394536">
            <w:pPr>
              <w:spacing w:before="80" w:after="80"/>
              <w:rPr>
                <w:rFonts w:cstheme="minorHAnsi"/>
                <w:sz w:val="18"/>
                <w:szCs w:val="18"/>
              </w:rPr>
            </w:pPr>
          </w:p>
        </w:tc>
        <w:tc>
          <w:tcPr>
            <w:tcW w:w="3827" w:type="dxa"/>
          </w:tcPr>
          <w:p w14:paraId="4708E037" w14:textId="7FF8F283" w:rsidR="008552F2" w:rsidRPr="00591ED7" w:rsidRDefault="008552F2" w:rsidP="00394536">
            <w:pPr>
              <w:spacing w:before="80" w:after="8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91ED7">
              <w:rPr>
                <w:rFonts w:cstheme="minorHAnsi"/>
                <w:sz w:val="18"/>
                <w:szCs w:val="18"/>
              </w:rPr>
              <w:t xml:space="preserve">For RMOs new to the </w:t>
            </w:r>
            <w:r w:rsidR="0086386F">
              <w:rPr>
                <w:rFonts w:cstheme="minorHAnsi"/>
                <w:sz w:val="18"/>
                <w:szCs w:val="18"/>
              </w:rPr>
              <w:t>District</w:t>
            </w:r>
            <w:r w:rsidRPr="00591ED7">
              <w:rPr>
                <w:rFonts w:cstheme="minorHAnsi"/>
                <w:sz w:val="18"/>
                <w:szCs w:val="18"/>
              </w:rPr>
              <w:t xml:space="preserve"> it may be helpful for services to include any general information to support their induction. This may include: </w:t>
            </w:r>
          </w:p>
          <w:p w14:paraId="3A8E8B27" w14:textId="77777777" w:rsidR="008552F2" w:rsidRPr="00591ED7" w:rsidRDefault="008552F2" w:rsidP="00394536">
            <w:pPr>
              <w:spacing w:before="80" w:after="80"/>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5386" w:type="dxa"/>
          </w:tcPr>
          <w:p w14:paraId="097D2399" w14:textId="77777777" w:rsidR="008552F2" w:rsidRPr="00591ED7" w:rsidRDefault="008552F2" w:rsidP="00394536">
            <w:pPr>
              <w:pStyle w:val="ListParagraph"/>
              <w:numPr>
                <w:ilvl w:val="0"/>
                <w:numId w:val="5"/>
              </w:numPr>
              <w:spacing w:before="80" w:after="80"/>
              <w:ind w:left="384" w:hanging="283"/>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91ED7">
              <w:rPr>
                <w:rFonts w:cstheme="minorHAnsi"/>
                <w:sz w:val="18"/>
                <w:szCs w:val="18"/>
              </w:rPr>
              <w:t>Maps</w:t>
            </w:r>
          </w:p>
          <w:p w14:paraId="50BB6793" w14:textId="77777777" w:rsidR="0086386F" w:rsidRDefault="0086386F" w:rsidP="0086386F">
            <w:pPr>
              <w:pStyle w:val="ListParagraph"/>
              <w:spacing w:before="80" w:after="80"/>
              <w:ind w:left="384"/>
              <w:cnfStyle w:val="000000000000" w:firstRow="0" w:lastRow="0" w:firstColumn="0" w:lastColumn="0" w:oddVBand="0" w:evenVBand="0" w:oddHBand="0" w:evenHBand="0" w:firstRowFirstColumn="0" w:firstRowLastColumn="0" w:lastRowFirstColumn="0" w:lastRowLastColumn="0"/>
              <w:rPr>
                <w:rFonts w:cstheme="minorHAnsi"/>
                <w:sz w:val="18"/>
                <w:szCs w:val="18"/>
              </w:rPr>
            </w:pPr>
          </w:p>
          <w:p w14:paraId="20CB628D" w14:textId="5B867821" w:rsidR="008552F2" w:rsidRPr="00591ED7" w:rsidRDefault="008552F2" w:rsidP="00394536">
            <w:pPr>
              <w:pStyle w:val="ListParagraph"/>
              <w:numPr>
                <w:ilvl w:val="0"/>
                <w:numId w:val="5"/>
              </w:numPr>
              <w:spacing w:before="80" w:after="80"/>
              <w:ind w:left="384" w:hanging="283"/>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91ED7">
              <w:rPr>
                <w:rFonts w:cstheme="minorHAnsi"/>
                <w:sz w:val="18"/>
                <w:szCs w:val="18"/>
              </w:rPr>
              <w:t>Parking information</w:t>
            </w:r>
          </w:p>
          <w:p w14:paraId="30F273DD" w14:textId="77777777" w:rsidR="0086386F" w:rsidRDefault="0086386F" w:rsidP="0086386F">
            <w:pPr>
              <w:pStyle w:val="ListParagraph"/>
              <w:spacing w:before="80" w:after="80"/>
              <w:ind w:left="384"/>
              <w:cnfStyle w:val="000000000000" w:firstRow="0" w:lastRow="0" w:firstColumn="0" w:lastColumn="0" w:oddVBand="0" w:evenVBand="0" w:oddHBand="0" w:evenHBand="0" w:firstRowFirstColumn="0" w:firstRowLastColumn="0" w:lastRowFirstColumn="0" w:lastRowLastColumn="0"/>
              <w:rPr>
                <w:rFonts w:cstheme="minorHAnsi"/>
                <w:sz w:val="18"/>
                <w:szCs w:val="18"/>
              </w:rPr>
            </w:pPr>
          </w:p>
          <w:p w14:paraId="35907704" w14:textId="75614DCC" w:rsidR="008552F2" w:rsidRPr="00591ED7" w:rsidRDefault="008552F2" w:rsidP="00394536">
            <w:pPr>
              <w:pStyle w:val="ListParagraph"/>
              <w:numPr>
                <w:ilvl w:val="0"/>
                <w:numId w:val="5"/>
              </w:numPr>
              <w:spacing w:before="80" w:after="80"/>
              <w:ind w:left="384" w:hanging="283"/>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91ED7">
              <w:rPr>
                <w:rFonts w:cstheme="minorHAnsi"/>
                <w:sz w:val="18"/>
                <w:szCs w:val="18"/>
              </w:rPr>
              <w:t>Staff shuttles</w:t>
            </w:r>
          </w:p>
          <w:p w14:paraId="1D79B02E" w14:textId="77777777" w:rsidR="0086386F" w:rsidRDefault="0086386F" w:rsidP="0086386F">
            <w:pPr>
              <w:pStyle w:val="ListParagraph"/>
              <w:spacing w:before="80" w:after="80"/>
              <w:ind w:left="384"/>
              <w:cnfStyle w:val="000000000000" w:firstRow="0" w:lastRow="0" w:firstColumn="0" w:lastColumn="0" w:oddVBand="0" w:evenVBand="0" w:oddHBand="0" w:evenHBand="0" w:firstRowFirstColumn="0" w:firstRowLastColumn="0" w:lastRowFirstColumn="0" w:lastRowLastColumn="0"/>
              <w:rPr>
                <w:rFonts w:cstheme="minorHAnsi"/>
                <w:sz w:val="18"/>
                <w:szCs w:val="18"/>
              </w:rPr>
            </w:pPr>
          </w:p>
          <w:p w14:paraId="0232AC59" w14:textId="2D7C87FD" w:rsidR="008E3F08" w:rsidRPr="00591ED7" w:rsidRDefault="008552F2">
            <w:pPr>
              <w:pStyle w:val="ListParagraph"/>
              <w:numPr>
                <w:ilvl w:val="0"/>
                <w:numId w:val="5"/>
              </w:numPr>
              <w:spacing w:before="80" w:after="80"/>
              <w:ind w:left="384" w:hanging="283"/>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91ED7">
              <w:rPr>
                <w:rFonts w:cstheme="minorHAnsi"/>
                <w:sz w:val="18"/>
                <w:szCs w:val="18"/>
              </w:rPr>
              <w:t>Staff Cafeteria</w:t>
            </w:r>
            <w:r w:rsidR="00322D6A" w:rsidRPr="00591ED7">
              <w:rPr>
                <w:rFonts w:cstheme="minorHAnsi"/>
                <w:sz w:val="18"/>
                <w:szCs w:val="18"/>
              </w:rPr>
              <w:t xml:space="preserve"> including after hours operation</w:t>
            </w:r>
            <w:r w:rsidR="006058CA">
              <w:rPr>
                <w:rFonts w:cstheme="minorHAnsi"/>
                <w:sz w:val="18"/>
                <w:szCs w:val="18"/>
              </w:rPr>
              <w:t xml:space="preserve"> (process for </w:t>
            </w:r>
            <w:r w:rsidR="00316077">
              <w:rPr>
                <w:rFonts w:cstheme="minorHAnsi"/>
                <w:sz w:val="18"/>
                <w:szCs w:val="18"/>
              </w:rPr>
              <w:t xml:space="preserve">meal allowances for </w:t>
            </w:r>
            <w:r w:rsidR="006058CA">
              <w:rPr>
                <w:rFonts w:cstheme="minorHAnsi"/>
                <w:sz w:val="18"/>
                <w:szCs w:val="18"/>
              </w:rPr>
              <w:t>RMO’s based off site from main hospital)</w:t>
            </w:r>
            <w:r w:rsidR="00322D6A" w:rsidRPr="00591ED7">
              <w:rPr>
                <w:rFonts w:cstheme="minorHAnsi"/>
                <w:sz w:val="18"/>
                <w:szCs w:val="18"/>
              </w:rPr>
              <w:t>.</w:t>
            </w:r>
          </w:p>
        </w:tc>
      </w:tr>
    </w:tbl>
    <w:p w14:paraId="55C2A7CD" w14:textId="4E935041" w:rsidR="00B42757" w:rsidRDefault="00B42757" w:rsidP="00591ED7">
      <w:pPr>
        <w:spacing w:after="0"/>
      </w:pPr>
    </w:p>
    <w:p w14:paraId="047AB95D" w14:textId="77777777" w:rsidR="00B42757" w:rsidRDefault="00B42757">
      <w:pPr>
        <w:spacing w:after="200" w:line="276" w:lineRule="auto"/>
      </w:pPr>
      <w:r>
        <w:br w:type="page"/>
      </w:r>
    </w:p>
    <w:p w14:paraId="22165A4F" w14:textId="7325DFE7" w:rsidR="00FC75CC" w:rsidRDefault="00FC75CC" w:rsidP="00591ED7">
      <w:pPr>
        <w:spacing w:after="0"/>
      </w:pPr>
    </w:p>
    <w:p w14:paraId="0F0B86D3" w14:textId="48400154" w:rsidR="00B42757" w:rsidRDefault="00B42757" w:rsidP="00591ED7">
      <w:pPr>
        <w:spacing w:after="0"/>
      </w:pPr>
    </w:p>
    <w:p w14:paraId="5A7FC197" w14:textId="7232A208" w:rsidR="00B42757" w:rsidRDefault="00B42757" w:rsidP="00591ED7">
      <w:pPr>
        <w:spacing w:after="0"/>
      </w:pPr>
    </w:p>
    <w:p w14:paraId="1B7F077E" w14:textId="734F268A" w:rsidR="00B42757" w:rsidRDefault="00B42757" w:rsidP="00591ED7">
      <w:pPr>
        <w:spacing w:after="0"/>
      </w:pPr>
    </w:p>
    <w:p w14:paraId="3E867E0F" w14:textId="489EDE17" w:rsidR="00B42757" w:rsidRDefault="00B42757" w:rsidP="00591ED7">
      <w:pPr>
        <w:spacing w:after="0"/>
      </w:pPr>
    </w:p>
    <w:p w14:paraId="11BAEDA1" w14:textId="4B3AE1B9" w:rsidR="00B42757" w:rsidRDefault="00B42757" w:rsidP="00591ED7">
      <w:pPr>
        <w:spacing w:after="0"/>
      </w:pPr>
    </w:p>
    <w:p w14:paraId="1734ABB2" w14:textId="77777777" w:rsidR="00B42757" w:rsidRDefault="00B42757" w:rsidP="00B42757">
      <w:pPr>
        <w:spacing w:after="0"/>
        <w:ind w:left="28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B42757" w14:paraId="374E182C" w14:textId="77777777" w:rsidTr="000B56C3">
        <w:tc>
          <w:tcPr>
            <w:tcW w:w="9854" w:type="dxa"/>
          </w:tcPr>
          <w:tbl>
            <w:tblPr>
              <w:tblStyle w:val="TableGrid"/>
              <w:tblpPr w:leftFromText="180" w:rightFromText="180" w:vertAnchor="page" w:horzAnchor="margin" w:tblpXSpec="center" w:tblpY="1"/>
              <w:tblOverlap w:val="never"/>
              <w:tblW w:w="0" w:type="auto"/>
              <w:tblLook w:val="04A0" w:firstRow="1" w:lastRow="0" w:firstColumn="1" w:lastColumn="0" w:noHBand="0" w:noVBand="1"/>
            </w:tblPr>
            <w:tblGrid>
              <w:gridCol w:w="1047"/>
              <w:gridCol w:w="2614"/>
              <w:gridCol w:w="820"/>
              <w:gridCol w:w="2458"/>
            </w:tblGrid>
            <w:tr w:rsidR="00B42757" w14:paraId="00841664" w14:textId="77777777" w:rsidTr="000B56C3">
              <w:trPr>
                <w:trHeight w:val="357"/>
              </w:trPr>
              <w:tc>
                <w:tcPr>
                  <w:tcW w:w="6939" w:type="dxa"/>
                  <w:gridSpan w:val="4"/>
                  <w:vAlign w:val="center"/>
                </w:tcPr>
                <w:p w14:paraId="5425E5CE" w14:textId="77777777" w:rsidR="00B42757" w:rsidRDefault="00B42757" w:rsidP="000B56C3">
                  <w:pPr>
                    <w:spacing w:before="120" w:after="120"/>
                    <w:jc w:val="center"/>
                    <w:rPr>
                      <w:b/>
                    </w:rPr>
                  </w:pPr>
                  <w:r>
                    <w:rPr>
                      <w:b/>
                    </w:rPr>
                    <w:t>R</w:t>
                  </w:r>
                  <w:r>
                    <w:rPr>
                      <w:b/>
                    </w:rPr>
                    <w:t>esources for Psychiatry Registrars and Mental Health Services</w:t>
                  </w:r>
                </w:p>
                <w:p w14:paraId="5AAB8116" w14:textId="00A6CF71" w:rsidR="00B42757" w:rsidRPr="006A418C" w:rsidRDefault="00B42757" w:rsidP="000B56C3">
                  <w:pPr>
                    <w:spacing w:before="120" w:after="120"/>
                    <w:jc w:val="center"/>
                    <w:rPr>
                      <w:b/>
                    </w:rPr>
                  </w:pPr>
                  <w:r>
                    <w:rPr>
                      <w:b/>
                    </w:rPr>
                    <w:t>National Orientation Template</w:t>
                  </w:r>
                </w:p>
              </w:tc>
            </w:tr>
            <w:tr w:rsidR="00B42757" w14:paraId="03C4800D" w14:textId="77777777" w:rsidTr="000B56C3">
              <w:trPr>
                <w:trHeight w:val="370"/>
              </w:trPr>
              <w:tc>
                <w:tcPr>
                  <w:tcW w:w="1047" w:type="dxa"/>
                  <w:vAlign w:val="center"/>
                </w:tcPr>
                <w:p w14:paraId="665BB54B" w14:textId="77777777" w:rsidR="00B42757" w:rsidRPr="006A418C" w:rsidRDefault="00B42757" w:rsidP="000B56C3">
                  <w:pPr>
                    <w:spacing w:before="120" w:after="120"/>
                    <w:rPr>
                      <w:b/>
                    </w:rPr>
                  </w:pPr>
                  <w:r w:rsidRPr="006A418C">
                    <w:rPr>
                      <w:b/>
                    </w:rPr>
                    <w:t>Version</w:t>
                  </w:r>
                </w:p>
              </w:tc>
              <w:tc>
                <w:tcPr>
                  <w:tcW w:w="2614" w:type="dxa"/>
                  <w:vAlign w:val="center"/>
                </w:tcPr>
                <w:p w14:paraId="6746FC93" w14:textId="77777777" w:rsidR="00B42757" w:rsidRDefault="00B42757" w:rsidP="000B56C3">
                  <w:pPr>
                    <w:spacing w:before="120" w:after="120"/>
                  </w:pPr>
                  <w:r>
                    <w:t>2.0</w:t>
                  </w:r>
                </w:p>
              </w:tc>
              <w:tc>
                <w:tcPr>
                  <w:tcW w:w="820" w:type="dxa"/>
                  <w:vAlign w:val="center"/>
                </w:tcPr>
                <w:p w14:paraId="29548226" w14:textId="77777777" w:rsidR="00B42757" w:rsidRPr="006A418C" w:rsidRDefault="00B42757" w:rsidP="000B56C3">
                  <w:pPr>
                    <w:spacing w:before="120" w:after="120"/>
                    <w:rPr>
                      <w:b/>
                    </w:rPr>
                  </w:pPr>
                  <w:r w:rsidRPr="006A418C">
                    <w:rPr>
                      <w:b/>
                    </w:rPr>
                    <w:t>Date</w:t>
                  </w:r>
                </w:p>
              </w:tc>
              <w:tc>
                <w:tcPr>
                  <w:tcW w:w="2458" w:type="dxa"/>
                  <w:vAlign w:val="center"/>
                </w:tcPr>
                <w:p w14:paraId="2A11B11D" w14:textId="77777777" w:rsidR="00B42757" w:rsidRDefault="00B42757" w:rsidP="000B56C3">
                  <w:pPr>
                    <w:spacing w:before="120" w:after="120"/>
                  </w:pPr>
                  <w:r>
                    <w:t>June 2024</w:t>
                  </w:r>
                </w:p>
              </w:tc>
            </w:tr>
            <w:tr w:rsidR="00B42757" w14:paraId="1AA77E65" w14:textId="77777777" w:rsidTr="000B56C3">
              <w:trPr>
                <w:trHeight w:val="357"/>
              </w:trPr>
              <w:tc>
                <w:tcPr>
                  <w:tcW w:w="3661" w:type="dxa"/>
                  <w:gridSpan w:val="2"/>
                  <w:vAlign w:val="center"/>
                </w:tcPr>
                <w:p w14:paraId="24713663" w14:textId="77777777" w:rsidR="00B42757" w:rsidRPr="006A418C" w:rsidRDefault="00B42757" w:rsidP="000B56C3">
                  <w:pPr>
                    <w:spacing w:before="120" w:after="120"/>
                    <w:rPr>
                      <w:b/>
                    </w:rPr>
                  </w:pPr>
                  <w:r>
                    <w:rPr>
                      <w:b/>
                    </w:rPr>
                    <w:t>Health NZ</w:t>
                  </w:r>
                  <w:r w:rsidRPr="006A418C">
                    <w:rPr>
                      <w:b/>
                    </w:rPr>
                    <w:t xml:space="preserve"> Representative</w:t>
                  </w:r>
                </w:p>
              </w:tc>
              <w:tc>
                <w:tcPr>
                  <w:tcW w:w="3278" w:type="dxa"/>
                  <w:gridSpan w:val="2"/>
                  <w:vAlign w:val="center"/>
                </w:tcPr>
                <w:p w14:paraId="26402844" w14:textId="77777777" w:rsidR="00B42757" w:rsidRDefault="00B42757" w:rsidP="000B56C3">
                  <w:pPr>
                    <w:spacing w:before="120" w:after="120"/>
                  </w:pPr>
                </w:p>
                <w:p w14:paraId="06558A4E" w14:textId="77777777" w:rsidR="00B42757" w:rsidRDefault="00B42757" w:rsidP="000B56C3">
                  <w:pPr>
                    <w:spacing w:before="120" w:after="120"/>
                  </w:pPr>
                </w:p>
              </w:tc>
            </w:tr>
            <w:tr w:rsidR="00B42757" w14:paraId="7FEA5496" w14:textId="77777777" w:rsidTr="000B56C3">
              <w:trPr>
                <w:trHeight w:val="723"/>
              </w:trPr>
              <w:tc>
                <w:tcPr>
                  <w:tcW w:w="3661" w:type="dxa"/>
                  <w:gridSpan w:val="2"/>
                  <w:vAlign w:val="center"/>
                </w:tcPr>
                <w:p w14:paraId="26A8BB0A" w14:textId="77777777" w:rsidR="00B42757" w:rsidRPr="006A418C" w:rsidRDefault="00B42757" w:rsidP="000B56C3">
                  <w:pPr>
                    <w:spacing w:before="120" w:after="120"/>
                    <w:rPr>
                      <w:b/>
                    </w:rPr>
                  </w:pPr>
                  <w:r>
                    <w:rPr>
                      <w:b/>
                    </w:rPr>
                    <w:t>STONZ</w:t>
                  </w:r>
                  <w:r w:rsidRPr="006A418C">
                    <w:rPr>
                      <w:b/>
                    </w:rPr>
                    <w:t xml:space="preserve"> Representative</w:t>
                  </w:r>
                </w:p>
              </w:tc>
              <w:tc>
                <w:tcPr>
                  <w:tcW w:w="3278" w:type="dxa"/>
                  <w:gridSpan w:val="2"/>
                  <w:vAlign w:val="center"/>
                </w:tcPr>
                <w:p w14:paraId="321C3A03" w14:textId="77777777" w:rsidR="00B42757" w:rsidRDefault="00B42757" w:rsidP="000B56C3">
                  <w:pPr>
                    <w:spacing w:before="120" w:after="120"/>
                  </w:pPr>
                </w:p>
              </w:tc>
            </w:tr>
            <w:tr w:rsidR="00B42757" w14:paraId="6CE97814" w14:textId="77777777" w:rsidTr="000B56C3">
              <w:trPr>
                <w:trHeight w:val="448"/>
              </w:trPr>
              <w:tc>
                <w:tcPr>
                  <w:tcW w:w="3661" w:type="dxa"/>
                  <w:gridSpan w:val="2"/>
                  <w:vAlign w:val="center"/>
                </w:tcPr>
                <w:p w14:paraId="5BBBF3FA" w14:textId="77777777" w:rsidR="00B42757" w:rsidRPr="006A418C" w:rsidRDefault="00B42757" w:rsidP="000B56C3">
                  <w:pPr>
                    <w:spacing w:before="120" w:after="120"/>
                    <w:rPr>
                      <w:b/>
                    </w:rPr>
                  </w:pPr>
                  <w:r>
                    <w:rPr>
                      <w:b/>
                    </w:rPr>
                    <w:t>Endorsed by NEF</w:t>
                  </w:r>
                </w:p>
              </w:tc>
              <w:tc>
                <w:tcPr>
                  <w:tcW w:w="820" w:type="dxa"/>
                  <w:vAlign w:val="center"/>
                </w:tcPr>
                <w:p w14:paraId="548BB6D4" w14:textId="77777777" w:rsidR="00B42757" w:rsidRPr="00B737BD" w:rsidRDefault="00B42757" w:rsidP="000B56C3">
                  <w:pPr>
                    <w:spacing w:before="120" w:after="120"/>
                    <w:rPr>
                      <w:b/>
                    </w:rPr>
                  </w:pPr>
                  <w:r w:rsidRPr="00B737BD">
                    <w:rPr>
                      <w:b/>
                    </w:rPr>
                    <w:t>Date</w:t>
                  </w:r>
                </w:p>
              </w:tc>
              <w:tc>
                <w:tcPr>
                  <w:tcW w:w="2458" w:type="dxa"/>
                  <w:vAlign w:val="center"/>
                </w:tcPr>
                <w:p w14:paraId="0EF1CA45" w14:textId="77777777" w:rsidR="00B42757" w:rsidRDefault="00B42757" w:rsidP="000B56C3">
                  <w:pPr>
                    <w:spacing w:before="120" w:after="120"/>
                  </w:pPr>
                  <w:r>
                    <w:t>12 June 2024</w:t>
                  </w:r>
                </w:p>
              </w:tc>
            </w:tr>
          </w:tbl>
          <w:p w14:paraId="53B08E40" w14:textId="77777777" w:rsidR="00B42757" w:rsidRDefault="00B42757" w:rsidP="000B56C3"/>
        </w:tc>
      </w:tr>
    </w:tbl>
    <w:p w14:paraId="2CF264CD" w14:textId="77777777" w:rsidR="00B42757" w:rsidRDefault="00B42757" w:rsidP="00591ED7">
      <w:pPr>
        <w:spacing w:after="0"/>
      </w:pPr>
    </w:p>
    <w:sectPr w:rsidR="00B42757" w:rsidSect="0086386F">
      <w:footerReference w:type="default" r:id="rId15"/>
      <w:footerReference w:type="first" r:id="rId16"/>
      <w:pgSz w:w="11906" w:h="16838" w:code="9"/>
      <w:pgMar w:top="709" w:right="1133" w:bottom="568" w:left="1134"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CD391" w14:textId="77777777" w:rsidR="00967EA3" w:rsidRDefault="00967EA3" w:rsidP="00980FDD">
      <w:r>
        <w:separator/>
      </w:r>
    </w:p>
  </w:endnote>
  <w:endnote w:type="continuationSeparator" w:id="0">
    <w:p w14:paraId="09F2F425" w14:textId="77777777" w:rsidR="00967EA3" w:rsidRDefault="00967EA3" w:rsidP="00980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9999"/>
      </w:rPr>
      <w:id w:val="1957214514"/>
      <w:docPartObj>
        <w:docPartGallery w:val="Page Numbers (Bottom of Page)"/>
        <w:docPartUnique/>
      </w:docPartObj>
    </w:sdtPr>
    <w:sdtEndPr>
      <w:rPr>
        <w:sz w:val="18"/>
        <w:szCs w:val="18"/>
      </w:rPr>
    </w:sdtEndPr>
    <w:sdtContent>
      <w:sdt>
        <w:sdtPr>
          <w:rPr>
            <w:color w:val="009999"/>
          </w:rPr>
          <w:id w:val="504563698"/>
          <w:docPartObj>
            <w:docPartGallery w:val="Page Numbers (Top of Page)"/>
            <w:docPartUnique/>
          </w:docPartObj>
        </w:sdtPr>
        <w:sdtEndPr>
          <w:rPr>
            <w:sz w:val="18"/>
            <w:szCs w:val="18"/>
          </w:rPr>
        </w:sdtEndPr>
        <w:sdtContent>
          <w:sdt>
            <w:sdtPr>
              <w:rPr>
                <w:color w:val="009999"/>
                <w:sz w:val="18"/>
                <w:szCs w:val="18"/>
              </w:rPr>
              <w:id w:val="658738027"/>
              <w:docPartObj>
                <w:docPartGallery w:val="Page Numbers (Bottom of Page)"/>
                <w:docPartUnique/>
              </w:docPartObj>
            </w:sdtPr>
            <w:sdtEndPr/>
            <w:sdtContent>
              <w:sdt>
                <w:sdtPr>
                  <w:rPr>
                    <w:color w:val="009999"/>
                    <w:sz w:val="18"/>
                    <w:szCs w:val="18"/>
                  </w:rPr>
                  <w:id w:val="-634028521"/>
                  <w:docPartObj>
                    <w:docPartGallery w:val="Page Numbers (Top of Page)"/>
                    <w:docPartUnique/>
                  </w:docPartObj>
                </w:sdtPr>
                <w:sdtEndPr/>
                <w:sdtContent>
                  <w:p w14:paraId="50B71629" w14:textId="2EDF9876" w:rsidR="00964881" w:rsidRPr="0086386F" w:rsidRDefault="0086386F" w:rsidP="0086386F">
                    <w:pPr>
                      <w:pStyle w:val="Footer"/>
                      <w:pBdr>
                        <w:top w:val="single" w:sz="4" w:space="1" w:color="009999"/>
                        <w:left w:val="single" w:sz="4" w:space="4" w:color="009999"/>
                        <w:bottom w:val="single" w:sz="4" w:space="1" w:color="009999"/>
                        <w:right w:val="single" w:sz="4" w:space="4" w:color="009999"/>
                      </w:pBdr>
                      <w:tabs>
                        <w:tab w:val="left" w:pos="8647"/>
                      </w:tabs>
                      <w:rPr>
                        <w:color w:val="009999"/>
                        <w:sz w:val="18"/>
                        <w:szCs w:val="18"/>
                      </w:rPr>
                    </w:pPr>
                    <w:r w:rsidRPr="0086386F">
                      <w:rPr>
                        <w:color w:val="009999"/>
                        <w:sz w:val="18"/>
                        <w:szCs w:val="18"/>
                      </w:rPr>
                      <w:t xml:space="preserve">Health NZ </w:t>
                    </w:r>
                    <w:r w:rsidR="00964881" w:rsidRPr="0086386F">
                      <w:rPr>
                        <w:color w:val="009999"/>
                        <w:sz w:val="18"/>
                        <w:szCs w:val="18"/>
                      </w:rPr>
                      <w:t xml:space="preserve">&amp; STONZ </w:t>
                    </w:r>
                    <w:r w:rsidRPr="0086386F">
                      <w:rPr>
                        <w:color w:val="009999"/>
                        <w:sz w:val="18"/>
                        <w:szCs w:val="18"/>
                      </w:rPr>
                      <w:t>CA</w:t>
                    </w:r>
                    <w:r w:rsidR="00964881" w:rsidRPr="0086386F">
                      <w:rPr>
                        <w:color w:val="009999"/>
                        <w:sz w:val="18"/>
                        <w:szCs w:val="18"/>
                      </w:rPr>
                      <w:t xml:space="preserve"> National Manual – Resources for Psychiatry Registrars and Mental Health Services</w:t>
                    </w:r>
                  </w:p>
                  <w:p w14:paraId="1AD9F505" w14:textId="77777777" w:rsidR="00964881" w:rsidRPr="0086386F" w:rsidRDefault="00964881" w:rsidP="0086386F">
                    <w:pPr>
                      <w:pStyle w:val="Footer"/>
                      <w:pBdr>
                        <w:top w:val="single" w:sz="4" w:space="1" w:color="009999"/>
                        <w:left w:val="single" w:sz="4" w:space="4" w:color="009999"/>
                        <w:bottom w:val="single" w:sz="4" w:space="1" w:color="009999"/>
                        <w:right w:val="single" w:sz="4" w:space="4" w:color="009999"/>
                      </w:pBdr>
                      <w:tabs>
                        <w:tab w:val="left" w:pos="8647"/>
                      </w:tabs>
                      <w:rPr>
                        <w:color w:val="009999"/>
                        <w:sz w:val="18"/>
                        <w:szCs w:val="18"/>
                      </w:rPr>
                    </w:pPr>
                    <w:r w:rsidRPr="0086386F">
                      <w:rPr>
                        <w:color w:val="009999"/>
                        <w:sz w:val="18"/>
                        <w:szCs w:val="18"/>
                      </w:rPr>
                      <w:t>National Orientation Template</w:t>
                    </w:r>
                  </w:p>
                  <w:p w14:paraId="5E33390E" w14:textId="7C0F8A3E" w:rsidR="00964881" w:rsidRPr="0086386F" w:rsidRDefault="00964881" w:rsidP="0086386F">
                    <w:pPr>
                      <w:pStyle w:val="Footer"/>
                      <w:pBdr>
                        <w:top w:val="single" w:sz="4" w:space="1" w:color="009999"/>
                        <w:left w:val="single" w:sz="4" w:space="4" w:color="009999"/>
                        <w:bottom w:val="single" w:sz="4" w:space="1" w:color="009999"/>
                        <w:right w:val="single" w:sz="4" w:space="4" w:color="009999"/>
                      </w:pBdr>
                      <w:tabs>
                        <w:tab w:val="clear" w:pos="4513"/>
                        <w:tab w:val="center" w:pos="4395"/>
                        <w:tab w:val="left" w:pos="7371"/>
                      </w:tabs>
                      <w:rPr>
                        <w:color w:val="009999"/>
                        <w:sz w:val="18"/>
                        <w:szCs w:val="18"/>
                      </w:rPr>
                    </w:pPr>
                    <w:r w:rsidRPr="0086386F">
                      <w:rPr>
                        <w:color w:val="009999"/>
                        <w:sz w:val="18"/>
                        <w:szCs w:val="18"/>
                      </w:rPr>
                      <w:t xml:space="preserve">Page </w:t>
                    </w:r>
                    <w:r w:rsidRPr="0086386F">
                      <w:rPr>
                        <w:color w:val="009999"/>
                        <w:sz w:val="18"/>
                        <w:szCs w:val="18"/>
                      </w:rPr>
                      <w:fldChar w:fldCharType="begin"/>
                    </w:r>
                    <w:r w:rsidRPr="0086386F">
                      <w:rPr>
                        <w:color w:val="009999"/>
                        <w:sz w:val="18"/>
                        <w:szCs w:val="18"/>
                      </w:rPr>
                      <w:instrText xml:space="preserve"> PAGE </w:instrText>
                    </w:r>
                    <w:r w:rsidRPr="0086386F">
                      <w:rPr>
                        <w:color w:val="009999"/>
                        <w:sz w:val="18"/>
                        <w:szCs w:val="18"/>
                      </w:rPr>
                      <w:fldChar w:fldCharType="separate"/>
                    </w:r>
                    <w:r w:rsidRPr="0086386F">
                      <w:rPr>
                        <w:color w:val="009999"/>
                        <w:sz w:val="18"/>
                        <w:szCs w:val="18"/>
                      </w:rPr>
                      <w:t>1</w:t>
                    </w:r>
                    <w:r w:rsidRPr="0086386F">
                      <w:rPr>
                        <w:color w:val="009999"/>
                        <w:sz w:val="18"/>
                        <w:szCs w:val="18"/>
                      </w:rPr>
                      <w:fldChar w:fldCharType="end"/>
                    </w:r>
                    <w:r w:rsidRPr="0086386F">
                      <w:rPr>
                        <w:color w:val="009999"/>
                        <w:sz w:val="18"/>
                        <w:szCs w:val="18"/>
                      </w:rPr>
                      <w:t xml:space="preserve"> of </w:t>
                    </w:r>
                    <w:r w:rsidRPr="0086386F">
                      <w:rPr>
                        <w:color w:val="009999"/>
                        <w:sz w:val="18"/>
                        <w:szCs w:val="18"/>
                      </w:rPr>
                      <w:fldChar w:fldCharType="begin"/>
                    </w:r>
                    <w:r w:rsidRPr="0086386F">
                      <w:rPr>
                        <w:color w:val="009999"/>
                        <w:sz w:val="18"/>
                        <w:szCs w:val="18"/>
                      </w:rPr>
                      <w:instrText xml:space="preserve"> NUMPAGES  </w:instrText>
                    </w:r>
                    <w:r w:rsidRPr="0086386F">
                      <w:rPr>
                        <w:color w:val="009999"/>
                        <w:sz w:val="18"/>
                        <w:szCs w:val="18"/>
                      </w:rPr>
                      <w:fldChar w:fldCharType="separate"/>
                    </w:r>
                    <w:r w:rsidRPr="0086386F">
                      <w:rPr>
                        <w:color w:val="009999"/>
                        <w:sz w:val="18"/>
                        <w:szCs w:val="18"/>
                      </w:rPr>
                      <w:t>4</w:t>
                    </w:r>
                    <w:r w:rsidRPr="0086386F">
                      <w:rPr>
                        <w:color w:val="009999"/>
                        <w:sz w:val="18"/>
                        <w:szCs w:val="18"/>
                      </w:rPr>
                      <w:fldChar w:fldCharType="end"/>
                    </w:r>
                    <w:r w:rsidRPr="0086386F">
                      <w:rPr>
                        <w:color w:val="009999"/>
                        <w:sz w:val="18"/>
                        <w:szCs w:val="18"/>
                      </w:rPr>
                      <w:tab/>
                      <w:t xml:space="preserve">Version </w:t>
                    </w:r>
                    <w:r w:rsidR="0086386F" w:rsidRPr="0086386F">
                      <w:rPr>
                        <w:color w:val="009999"/>
                        <w:sz w:val="18"/>
                        <w:szCs w:val="18"/>
                      </w:rPr>
                      <w:t>2</w:t>
                    </w:r>
                    <w:r w:rsidRPr="0086386F">
                      <w:rPr>
                        <w:color w:val="009999"/>
                        <w:sz w:val="18"/>
                        <w:szCs w:val="18"/>
                      </w:rPr>
                      <w:t>.0</w:t>
                    </w:r>
                    <w:r w:rsidRPr="0086386F">
                      <w:rPr>
                        <w:color w:val="009999"/>
                        <w:sz w:val="18"/>
                        <w:szCs w:val="18"/>
                      </w:rPr>
                      <w:tab/>
                      <w:t xml:space="preserve">Endorsed date: </w:t>
                    </w:r>
                    <w:r w:rsidR="0086386F" w:rsidRPr="0086386F">
                      <w:rPr>
                        <w:color w:val="009999"/>
                        <w:sz w:val="18"/>
                        <w:szCs w:val="18"/>
                      </w:rPr>
                      <w:t>12/06/2024</w:t>
                    </w:r>
                  </w:p>
                </w:sdtContent>
              </w:sdt>
            </w:sdtContent>
          </w:sdt>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9999"/>
      </w:rPr>
      <w:id w:val="-812867649"/>
      <w:docPartObj>
        <w:docPartGallery w:val="Page Numbers (Bottom of Page)"/>
        <w:docPartUnique/>
      </w:docPartObj>
    </w:sdtPr>
    <w:sdtEndPr>
      <w:rPr>
        <w:sz w:val="18"/>
        <w:szCs w:val="18"/>
      </w:rPr>
    </w:sdtEndPr>
    <w:sdtContent>
      <w:sdt>
        <w:sdtPr>
          <w:rPr>
            <w:color w:val="009999"/>
          </w:rPr>
          <w:id w:val="98381352"/>
          <w:docPartObj>
            <w:docPartGallery w:val="Page Numbers (Top of Page)"/>
            <w:docPartUnique/>
          </w:docPartObj>
        </w:sdtPr>
        <w:sdtEndPr>
          <w:rPr>
            <w:sz w:val="18"/>
            <w:szCs w:val="18"/>
          </w:rPr>
        </w:sdtEndPr>
        <w:sdtContent>
          <w:sdt>
            <w:sdtPr>
              <w:rPr>
                <w:color w:val="009999"/>
                <w:sz w:val="18"/>
                <w:szCs w:val="18"/>
              </w:rPr>
              <w:id w:val="471802368"/>
              <w:docPartObj>
                <w:docPartGallery w:val="Page Numbers (Bottom of Page)"/>
                <w:docPartUnique/>
              </w:docPartObj>
            </w:sdtPr>
            <w:sdtEndPr/>
            <w:sdtContent>
              <w:sdt>
                <w:sdtPr>
                  <w:rPr>
                    <w:color w:val="009999"/>
                    <w:sz w:val="18"/>
                    <w:szCs w:val="18"/>
                  </w:rPr>
                  <w:id w:val="1916126708"/>
                  <w:docPartObj>
                    <w:docPartGallery w:val="Page Numbers (Top of Page)"/>
                    <w:docPartUnique/>
                  </w:docPartObj>
                </w:sdtPr>
                <w:sdtEndPr/>
                <w:sdtContent>
                  <w:p w14:paraId="5E793B53" w14:textId="5270B893" w:rsidR="00964881" w:rsidRPr="0086386F" w:rsidRDefault="0086386F" w:rsidP="0086386F">
                    <w:pPr>
                      <w:pStyle w:val="Footer"/>
                      <w:pBdr>
                        <w:top w:val="single" w:sz="4" w:space="1" w:color="009999"/>
                        <w:left w:val="single" w:sz="4" w:space="4" w:color="009999"/>
                        <w:bottom w:val="single" w:sz="4" w:space="1" w:color="009999"/>
                        <w:right w:val="single" w:sz="4" w:space="4" w:color="009999"/>
                      </w:pBdr>
                      <w:tabs>
                        <w:tab w:val="left" w:pos="8647"/>
                      </w:tabs>
                      <w:rPr>
                        <w:color w:val="009999"/>
                        <w:sz w:val="18"/>
                        <w:szCs w:val="18"/>
                      </w:rPr>
                    </w:pPr>
                    <w:r w:rsidRPr="0086386F">
                      <w:rPr>
                        <w:color w:val="009999"/>
                        <w:sz w:val="18"/>
                        <w:szCs w:val="18"/>
                      </w:rPr>
                      <w:t xml:space="preserve">Health NZ </w:t>
                    </w:r>
                    <w:r w:rsidR="00964881" w:rsidRPr="0086386F">
                      <w:rPr>
                        <w:color w:val="009999"/>
                        <w:sz w:val="18"/>
                        <w:szCs w:val="18"/>
                      </w:rPr>
                      <w:t xml:space="preserve">&amp; STONZ </w:t>
                    </w:r>
                    <w:r w:rsidRPr="0086386F">
                      <w:rPr>
                        <w:color w:val="009999"/>
                        <w:sz w:val="18"/>
                        <w:szCs w:val="18"/>
                      </w:rPr>
                      <w:t>CA</w:t>
                    </w:r>
                    <w:r w:rsidR="00964881" w:rsidRPr="0086386F">
                      <w:rPr>
                        <w:color w:val="009999"/>
                        <w:sz w:val="18"/>
                        <w:szCs w:val="18"/>
                      </w:rPr>
                      <w:t xml:space="preserve"> National Manual – Resources for Psychiatry Registrars and Mental Health Services</w:t>
                    </w:r>
                  </w:p>
                  <w:p w14:paraId="6BE5B9AA" w14:textId="486BAD63" w:rsidR="00964881" w:rsidRPr="0086386F" w:rsidRDefault="00964881" w:rsidP="0086386F">
                    <w:pPr>
                      <w:pStyle w:val="Footer"/>
                      <w:pBdr>
                        <w:top w:val="single" w:sz="4" w:space="1" w:color="009999"/>
                        <w:left w:val="single" w:sz="4" w:space="4" w:color="009999"/>
                        <w:bottom w:val="single" w:sz="4" w:space="1" w:color="009999"/>
                        <w:right w:val="single" w:sz="4" w:space="4" w:color="009999"/>
                      </w:pBdr>
                      <w:tabs>
                        <w:tab w:val="left" w:pos="8647"/>
                      </w:tabs>
                      <w:rPr>
                        <w:color w:val="009999"/>
                        <w:sz w:val="18"/>
                        <w:szCs w:val="18"/>
                      </w:rPr>
                    </w:pPr>
                    <w:r w:rsidRPr="0086386F">
                      <w:rPr>
                        <w:color w:val="009999"/>
                        <w:sz w:val="18"/>
                        <w:szCs w:val="18"/>
                      </w:rPr>
                      <w:t>National Orientation Template</w:t>
                    </w:r>
                  </w:p>
                  <w:p w14:paraId="6B503AF8" w14:textId="2FF33260" w:rsidR="00964881" w:rsidRPr="0086386F" w:rsidRDefault="00964881" w:rsidP="0086386F">
                    <w:pPr>
                      <w:pStyle w:val="Footer"/>
                      <w:pBdr>
                        <w:top w:val="single" w:sz="4" w:space="1" w:color="009999"/>
                        <w:left w:val="single" w:sz="4" w:space="4" w:color="009999"/>
                        <w:bottom w:val="single" w:sz="4" w:space="1" w:color="009999"/>
                        <w:right w:val="single" w:sz="4" w:space="4" w:color="009999"/>
                      </w:pBdr>
                      <w:tabs>
                        <w:tab w:val="clear" w:pos="4513"/>
                        <w:tab w:val="center" w:pos="4395"/>
                        <w:tab w:val="left" w:pos="7371"/>
                      </w:tabs>
                      <w:rPr>
                        <w:color w:val="009999"/>
                        <w:sz w:val="18"/>
                        <w:szCs w:val="18"/>
                      </w:rPr>
                    </w:pPr>
                    <w:r w:rsidRPr="0086386F">
                      <w:rPr>
                        <w:color w:val="009999"/>
                        <w:sz w:val="18"/>
                        <w:szCs w:val="18"/>
                      </w:rPr>
                      <w:t xml:space="preserve">Page </w:t>
                    </w:r>
                    <w:r w:rsidRPr="0086386F">
                      <w:rPr>
                        <w:color w:val="009999"/>
                        <w:sz w:val="18"/>
                        <w:szCs w:val="18"/>
                      </w:rPr>
                      <w:fldChar w:fldCharType="begin"/>
                    </w:r>
                    <w:r w:rsidRPr="0086386F">
                      <w:rPr>
                        <w:color w:val="009999"/>
                        <w:sz w:val="18"/>
                        <w:szCs w:val="18"/>
                      </w:rPr>
                      <w:instrText xml:space="preserve"> PAGE </w:instrText>
                    </w:r>
                    <w:r w:rsidRPr="0086386F">
                      <w:rPr>
                        <w:color w:val="009999"/>
                        <w:sz w:val="18"/>
                        <w:szCs w:val="18"/>
                      </w:rPr>
                      <w:fldChar w:fldCharType="separate"/>
                    </w:r>
                    <w:r w:rsidRPr="0086386F">
                      <w:rPr>
                        <w:color w:val="009999"/>
                        <w:sz w:val="18"/>
                        <w:szCs w:val="18"/>
                      </w:rPr>
                      <w:t>1</w:t>
                    </w:r>
                    <w:r w:rsidRPr="0086386F">
                      <w:rPr>
                        <w:color w:val="009999"/>
                        <w:sz w:val="18"/>
                        <w:szCs w:val="18"/>
                      </w:rPr>
                      <w:fldChar w:fldCharType="end"/>
                    </w:r>
                    <w:r w:rsidRPr="0086386F">
                      <w:rPr>
                        <w:color w:val="009999"/>
                        <w:sz w:val="18"/>
                        <w:szCs w:val="18"/>
                      </w:rPr>
                      <w:t xml:space="preserve"> of </w:t>
                    </w:r>
                    <w:r w:rsidRPr="0086386F">
                      <w:rPr>
                        <w:color w:val="009999"/>
                        <w:sz w:val="18"/>
                        <w:szCs w:val="18"/>
                      </w:rPr>
                      <w:fldChar w:fldCharType="begin"/>
                    </w:r>
                    <w:r w:rsidRPr="0086386F">
                      <w:rPr>
                        <w:color w:val="009999"/>
                        <w:sz w:val="18"/>
                        <w:szCs w:val="18"/>
                      </w:rPr>
                      <w:instrText xml:space="preserve"> NUMPAGES  </w:instrText>
                    </w:r>
                    <w:r w:rsidRPr="0086386F">
                      <w:rPr>
                        <w:color w:val="009999"/>
                        <w:sz w:val="18"/>
                        <w:szCs w:val="18"/>
                      </w:rPr>
                      <w:fldChar w:fldCharType="separate"/>
                    </w:r>
                    <w:r w:rsidRPr="0086386F">
                      <w:rPr>
                        <w:color w:val="009999"/>
                        <w:sz w:val="18"/>
                        <w:szCs w:val="18"/>
                      </w:rPr>
                      <w:t>2</w:t>
                    </w:r>
                    <w:r w:rsidRPr="0086386F">
                      <w:rPr>
                        <w:color w:val="009999"/>
                        <w:sz w:val="18"/>
                        <w:szCs w:val="18"/>
                      </w:rPr>
                      <w:fldChar w:fldCharType="end"/>
                    </w:r>
                    <w:r w:rsidRPr="0086386F">
                      <w:rPr>
                        <w:color w:val="009999"/>
                        <w:sz w:val="18"/>
                        <w:szCs w:val="18"/>
                      </w:rPr>
                      <w:tab/>
                      <w:t xml:space="preserve">Version </w:t>
                    </w:r>
                    <w:r w:rsidR="0086386F" w:rsidRPr="0086386F">
                      <w:rPr>
                        <w:color w:val="009999"/>
                        <w:sz w:val="18"/>
                        <w:szCs w:val="18"/>
                      </w:rPr>
                      <w:t>2</w:t>
                    </w:r>
                    <w:r w:rsidRPr="0086386F">
                      <w:rPr>
                        <w:color w:val="009999"/>
                        <w:sz w:val="18"/>
                        <w:szCs w:val="18"/>
                      </w:rPr>
                      <w:t>.0</w:t>
                    </w:r>
                    <w:r w:rsidRPr="0086386F">
                      <w:rPr>
                        <w:color w:val="009999"/>
                        <w:sz w:val="18"/>
                        <w:szCs w:val="18"/>
                      </w:rPr>
                      <w:tab/>
                      <w:t xml:space="preserve">Endorsed date: </w:t>
                    </w:r>
                    <w:r w:rsidR="0086386F" w:rsidRPr="0086386F">
                      <w:rPr>
                        <w:color w:val="009999"/>
                        <w:sz w:val="18"/>
                        <w:szCs w:val="18"/>
                      </w:rPr>
                      <w:t>12/06/2024</w:t>
                    </w:r>
                  </w:p>
                </w:sdtContent>
              </w:sdt>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C4691" w14:textId="77777777" w:rsidR="00967EA3" w:rsidRDefault="00967EA3" w:rsidP="00980FDD">
      <w:r>
        <w:separator/>
      </w:r>
    </w:p>
  </w:footnote>
  <w:footnote w:type="continuationSeparator" w:id="0">
    <w:p w14:paraId="7A01324A" w14:textId="77777777" w:rsidR="00967EA3" w:rsidRDefault="00967EA3" w:rsidP="00980F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5269F6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AB46B7"/>
    <w:multiLevelType w:val="multilevel"/>
    <w:tmpl w:val="459A9616"/>
    <w:styleLink w:val="NRABullets"/>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Courier New" w:hAnsi="Courier New"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Courier New" w:hAnsi="Courier New"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Courier New" w:hAnsi="Courier New" w:hint="default"/>
      </w:rPr>
    </w:lvl>
  </w:abstractNum>
  <w:abstractNum w:abstractNumId="2" w15:restartNumberingAfterBreak="0">
    <w:nsid w:val="04B23D6E"/>
    <w:multiLevelType w:val="hybridMultilevel"/>
    <w:tmpl w:val="25A6D1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CD02A09"/>
    <w:multiLevelType w:val="hybridMultilevel"/>
    <w:tmpl w:val="9E28F01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1675CDE"/>
    <w:multiLevelType w:val="hybridMultilevel"/>
    <w:tmpl w:val="5CC8D6B0"/>
    <w:lvl w:ilvl="0" w:tplc="70D63248">
      <w:numFmt w:val="bullet"/>
      <w:lvlText w:val="-"/>
      <w:lvlJc w:val="left"/>
      <w:pPr>
        <w:ind w:left="1080" w:hanging="360"/>
      </w:pPr>
      <w:rPr>
        <w:rFonts w:ascii="Arial" w:eastAsiaTheme="minorHAnsi" w:hAnsi="Arial" w:cs="Aria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5" w15:restartNumberingAfterBreak="0">
    <w:nsid w:val="2010333C"/>
    <w:multiLevelType w:val="hybridMultilevel"/>
    <w:tmpl w:val="8B3267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8742718"/>
    <w:multiLevelType w:val="multilevel"/>
    <w:tmpl w:val="CC160088"/>
    <w:lvl w:ilvl="0">
      <w:numFmt w:val="decimal"/>
      <w:lvlText w:val=""/>
      <w:lvlJc w:val="left"/>
    </w:lvl>
    <w:lvl w:ilvl="1">
      <w:numFmt w:val="decimal"/>
      <w:lvlText w:val=""/>
      <w:lvlJc w:val="left"/>
    </w:lvl>
    <w:lvl w:ilvl="2">
      <w:numFmt w:val="decimal"/>
      <w:lvlText w:val=""/>
      <w:lvlJc w:val="left"/>
    </w:lvl>
    <w:lvl w:ilvl="3">
      <w:numFmt w:val="decimal"/>
      <w:pStyle w:val="ListBullet4"/>
      <w:lvlText w:val=""/>
      <w:lvlJc w:val="left"/>
    </w:lvl>
    <w:lvl w:ilvl="4">
      <w:numFmt w:val="decimal"/>
      <w:pStyle w:val="ListBullet5"/>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9056FD9"/>
    <w:multiLevelType w:val="hybridMultilevel"/>
    <w:tmpl w:val="98AEC2CE"/>
    <w:lvl w:ilvl="0" w:tplc="A850756E">
      <w:start w:val="2"/>
      <w:numFmt w:val="bullet"/>
      <w:lvlText w:val="-"/>
      <w:lvlJc w:val="left"/>
      <w:pPr>
        <w:ind w:left="720" w:hanging="360"/>
      </w:pPr>
      <w:rPr>
        <w:rFonts w:ascii="Arial" w:eastAsia="Arial"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D780760"/>
    <w:multiLevelType w:val="hybridMultilevel"/>
    <w:tmpl w:val="22F225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D6A4CE4"/>
    <w:multiLevelType w:val="hybridMultilevel"/>
    <w:tmpl w:val="2EE8D788"/>
    <w:lvl w:ilvl="0" w:tplc="14090001">
      <w:start w:val="1"/>
      <w:numFmt w:val="bullet"/>
      <w:lvlText w:val=""/>
      <w:lvlJc w:val="left"/>
      <w:pPr>
        <w:ind w:left="770" w:hanging="360"/>
      </w:pPr>
      <w:rPr>
        <w:rFonts w:ascii="Symbol" w:hAnsi="Symbol" w:hint="default"/>
      </w:rPr>
    </w:lvl>
    <w:lvl w:ilvl="1" w:tplc="14090003" w:tentative="1">
      <w:start w:val="1"/>
      <w:numFmt w:val="bullet"/>
      <w:lvlText w:val="o"/>
      <w:lvlJc w:val="left"/>
      <w:pPr>
        <w:ind w:left="1490" w:hanging="360"/>
      </w:pPr>
      <w:rPr>
        <w:rFonts w:ascii="Courier New" w:hAnsi="Courier New" w:cs="Courier New" w:hint="default"/>
      </w:rPr>
    </w:lvl>
    <w:lvl w:ilvl="2" w:tplc="14090005" w:tentative="1">
      <w:start w:val="1"/>
      <w:numFmt w:val="bullet"/>
      <w:lvlText w:val=""/>
      <w:lvlJc w:val="left"/>
      <w:pPr>
        <w:ind w:left="2210" w:hanging="360"/>
      </w:pPr>
      <w:rPr>
        <w:rFonts w:ascii="Wingdings" w:hAnsi="Wingdings" w:hint="default"/>
      </w:rPr>
    </w:lvl>
    <w:lvl w:ilvl="3" w:tplc="14090001" w:tentative="1">
      <w:start w:val="1"/>
      <w:numFmt w:val="bullet"/>
      <w:lvlText w:val=""/>
      <w:lvlJc w:val="left"/>
      <w:pPr>
        <w:ind w:left="2930" w:hanging="360"/>
      </w:pPr>
      <w:rPr>
        <w:rFonts w:ascii="Symbol" w:hAnsi="Symbol" w:hint="default"/>
      </w:rPr>
    </w:lvl>
    <w:lvl w:ilvl="4" w:tplc="14090003" w:tentative="1">
      <w:start w:val="1"/>
      <w:numFmt w:val="bullet"/>
      <w:lvlText w:val="o"/>
      <w:lvlJc w:val="left"/>
      <w:pPr>
        <w:ind w:left="3650" w:hanging="360"/>
      </w:pPr>
      <w:rPr>
        <w:rFonts w:ascii="Courier New" w:hAnsi="Courier New" w:cs="Courier New" w:hint="default"/>
      </w:rPr>
    </w:lvl>
    <w:lvl w:ilvl="5" w:tplc="14090005" w:tentative="1">
      <w:start w:val="1"/>
      <w:numFmt w:val="bullet"/>
      <w:lvlText w:val=""/>
      <w:lvlJc w:val="left"/>
      <w:pPr>
        <w:ind w:left="4370" w:hanging="360"/>
      </w:pPr>
      <w:rPr>
        <w:rFonts w:ascii="Wingdings" w:hAnsi="Wingdings" w:hint="default"/>
      </w:rPr>
    </w:lvl>
    <w:lvl w:ilvl="6" w:tplc="14090001" w:tentative="1">
      <w:start w:val="1"/>
      <w:numFmt w:val="bullet"/>
      <w:lvlText w:val=""/>
      <w:lvlJc w:val="left"/>
      <w:pPr>
        <w:ind w:left="5090" w:hanging="360"/>
      </w:pPr>
      <w:rPr>
        <w:rFonts w:ascii="Symbol" w:hAnsi="Symbol" w:hint="default"/>
      </w:rPr>
    </w:lvl>
    <w:lvl w:ilvl="7" w:tplc="14090003" w:tentative="1">
      <w:start w:val="1"/>
      <w:numFmt w:val="bullet"/>
      <w:lvlText w:val="o"/>
      <w:lvlJc w:val="left"/>
      <w:pPr>
        <w:ind w:left="5810" w:hanging="360"/>
      </w:pPr>
      <w:rPr>
        <w:rFonts w:ascii="Courier New" w:hAnsi="Courier New" w:cs="Courier New" w:hint="default"/>
      </w:rPr>
    </w:lvl>
    <w:lvl w:ilvl="8" w:tplc="14090005" w:tentative="1">
      <w:start w:val="1"/>
      <w:numFmt w:val="bullet"/>
      <w:lvlText w:val=""/>
      <w:lvlJc w:val="left"/>
      <w:pPr>
        <w:ind w:left="6530" w:hanging="360"/>
      </w:pPr>
      <w:rPr>
        <w:rFonts w:ascii="Wingdings" w:hAnsi="Wingdings" w:hint="default"/>
      </w:rPr>
    </w:lvl>
  </w:abstractNum>
  <w:abstractNum w:abstractNumId="10" w15:restartNumberingAfterBreak="0">
    <w:nsid w:val="48523AAF"/>
    <w:multiLevelType w:val="hybridMultilevel"/>
    <w:tmpl w:val="31DAE382"/>
    <w:lvl w:ilvl="0" w:tplc="14090003">
      <w:start w:val="1"/>
      <w:numFmt w:val="bullet"/>
      <w:lvlText w:val="o"/>
      <w:lvlJc w:val="left"/>
      <w:pPr>
        <w:ind w:left="1080" w:hanging="360"/>
      </w:pPr>
      <w:rPr>
        <w:rFonts w:ascii="Courier New" w:hAnsi="Courier New" w:cs="Courier New"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1" w15:restartNumberingAfterBreak="0">
    <w:nsid w:val="56AF3952"/>
    <w:multiLevelType w:val="hybridMultilevel"/>
    <w:tmpl w:val="7D3CD6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60362F9C"/>
    <w:multiLevelType w:val="hybridMultilevel"/>
    <w:tmpl w:val="84C64A2E"/>
    <w:lvl w:ilvl="0" w:tplc="14090001">
      <w:start w:val="1"/>
      <w:numFmt w:val="bullet"/>
      <w:lvlText w:val=""/>
      <w:lvlJc w:val="left"/>
      <w:pPr>
        <w:ind w:left="1800" w:hanging="360"/>
      </w:pPr>
      <w:rPr>
        <w:rFonts w:ascii="Symbol" w:hAnsi="Symbol" w:hint="default"/>
      </w:rPr>
    </w:lvl>
    <w:lvl w:ilvl="1" w:tplc="14090003">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13" w15:restartNumberingAfterBreak="0">
    <w:nsid w:val="66A059C5"/>
    <w:multiLevelType w:val="hybridMultilevel"/>
    <w:tmpl w:val="FB90837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71B03698"/>
    <w:multiLevelType w:val="hybridMultilevel"/>
    <w:tmpl w:val="42948F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7C2A3B25"/>
    <w:multiLevelType w:val="hybridMultilevel"/>
    <w:tmpl w:val="84424D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7F1A5540"/>
    <w:multiLevelType w:val="hybridMultilevel"/>
    <w:tmpl w:val="8B2A4F74"/>
    <w:lvl w:ilvl="0" w:tplc="8C8C633C">
      <w:numFmt w:val="bullet"/>
      <w:lvlText w:val="-"/>
      <w:lvlJc w:val="left"/>
      <w:pPr>
        <w:ind w:left="720" w:hanging="36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393189044">
    <w:abstractNumId w:val="6"/>
  </w:num>
  <w:num w:numId="2" w16cid:durableId="1470053580">
    <w:abstractNumId w:val="1"/>
  </w:num>
  <w:num w:numId="3" w16cid:durableId="563105750">
    <w:abstractNumId w:val="0"/>
  </w:num>
  <w:num w:numId="4" w16cid:durableId="883058695">
    <w:abstractNumId w:val="13"/>
  </w:num>
  <w:num w:numId="5" w16cid:durableId="490369317">
    <w:abstractNumId w:val="3"/>
  </w:num>
  <w:num w:numId="6" w16cid:durableId="1021779677">
    <w:abstractNumId w:val="15"/>
  </w:num>
  <w:num w:numId="7" w16cid:durableId="1294286687">
    <w:abstractNumId w:val="2"/>
  </w:num>
  <w:num w:numId="8" w16cid:durableId="432017270">
    <w:abstractNumId w:val="8"/>
  </w:num>
  <w:num w:numId="9" w16cid:durableId="338122549">
    <w:abstractNumId w:val="11"/>
  </w:num>
  <w:num w:numId="10" w16cid:durableId="691107672">
    <w:abstractNumId w:val="5"/>
  </w:num>
  <w:num w:numId="11" w16cid:durableId="1782260070">
    <w:abstractNumId w:val="12"/>
  </w:num>
  <w:num w:numId="12" w16cid:durableId="1418791734">
    <w:abstractNumId w:val="9"/>
  </w:num>
  <w:num w:numId="13" w16cid:durableId="1098715058">
    <w:abstractNumId w:val="4"/>
  </w:num>
  <w:num w:numId="14" w16cid:durableId="140007605">
    <w:abstractNumId w:val="7"/>
  </w:num>
  <w:num w:numId="15" w16cid:durableId="1672024913">
    <w:abstractNumId w:val="10"/>
  </w:num>
  <w:num w:numId="16" w16cid:durableId="1677147903">
    <w:abstractNumId w:val="14"/>
  </w:num>
  <w:num w:numId="17" w16cid:durableId="1599824796">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0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G0NDCzMDMxAkJTQyUdpeDU4uLM/DyQAqNaANpa2LwsAAAA"/>
  </w:docVars>
  <w:rsids>
    <w:rsidRoot w:val="00D56685"/>
    <w:rsid w:val="000063BE"/>
    <w:rsid w:val="000074F2"/>
    <w:rsid w:val="00017433"/>
    <w:rsid w:val="00024140"/>
    <w:rsid w:val="0002495B"/>
    <w:rsid w:val="00031E51"/>
    <w:rsid w:val="000333AA"/>
    <w:rsid w:val="00041215"/>
    <w:rsid w:val="00042436"/>
    <w:rsid w:val="00046747"/>
    <w:rsid w:val="000467A7"/>
    <w:rsid w:val="00053DA7"/>
    <w:rsid w:val="00056F03"/>
    <w:rsid w:val="000573F5"/>
    <w:rsid w:val="00063AAB"/>
    <w:rsid w:val="00064836"/>
    <w:rsid w:val="00067807"/>
    <w:rsid w:val="000735ED"/>
    <w:rsid w:val="00076E74"/>
    <w:rsid w:val="00083007"/>
    <w:rsid w:val="000846A4"/>
    <w:rsid w:val="000877F1"/>
    <w:rsid w:val="000A7E4B"/>
    <w:rsid w:val="000C0DFA"/>
    <w:rsid w:val="000D4A6B"/>
    <w:rsid w:val="000F2C6C"/>
    <w:rsid w:val="000F393A"/>
    <w:rsid w:val="000F72C7"/>
    <w:rsid w:val="00107F5C"/>
    <w:rsid w:val="00111E2D"/>
    <w:rsid w:val="001173A3"/>
    <w:rsid w:val="00120F1A"/>
    <w:rsid w:val="0012246F"/>
    <w:rsid w:val="001232A6"/>
    <w:rsid w:val="0012469A"/>
    <w:rsid w:val="001300DC"/>
    <w:rsid w:val="00133AE5"/>
    <w:rsid w:val="00142025"/>
    <w:rsid w:val="00145111"/>
    <w:rsid w:val="00161D23"/>
    <w:rsid w:val="0016541F"/>
    <w:rsid w:val="0016557A"/>
    <w:rsid w:val="00191F16"/>
    <w:rsid w:val="00192561"/>
    <w:rsid w:val="00194FCE"/>
    <w:rsid w:val="001A378B"/>
    <w:rsid w:val="001A58E2"/>
    <w:rsid w:val="001A65C4"/>
    <w:rsid w:val="001B6B01"/>
    <w:rsid w:val="001C1178"/>
    <w:rsid w:val="001C2804"/>
    <w:rsid w:val="001C29A5"/>
    <w:rsid w:val="001C61A5"/>
    <w:rsid w:val="001C74EB"/>
    <w:rsid w:val="001D12E3"/>
    <w:rsid w:val="001E08EB"/>
    <w:rsid w:val="001E217E"/>
    <w:rsid w:val="001E254E"/>
    <w:rsid w:val="001E37AF"/>
    <w:rsid w:val="001E52C3"/>
    <w:rsid w:val="001E7A0C"/>
    <w:rsid w:val="001F2F9B"/>
    <w:rsid w:val="001F4CB5"/>
    <w:rsid w:val="001F55EB"/>
    <w:rsid w:val="001F5878"/>
    <w:rsid w:val="0020005E"/>
    <w:rsid w:val="00200401"/>
    <w:rsid w:val="0020243B"/>
    <w:rsid w:val="0020460E"/>
    <w:rsid w:val="00220A30"/>
    <w:rsid w:val="00220FF4"/>
    <w:rsid w:val="0022438D"/>
    <w:rsid w:val="00226BB4"/>
    <w:rsid w:val="00227C4F"/>
    <w:rsid w:val="00230A14"/>
    <w:rsid w:val="002419B8"/>
    <w:rsid w:val="00242971"/>
    <w:rsid w:val="00260889"/>
    <w:rsid w:val="0026779F"/>
    <w:rsid w:val="00267F1A"/>
    <w:rsid w:val="0027065B"/>
    <w:rsid w:val="00271508"/>
    <w:rsid w:val="002819D3"/>
    <w:rsid w:val="0028516F"/>
    <w:rsid w:val="002853AC"/>
    <w:rsid w:val="00285BCD"/>
    <w:rsid w:val="0029256B"/>
    <w:rsid w:val="00294B5E"/>
    <w:rsid w:val="002969F2"/>
    <w:rsid w:val="00296B0E"/>
    <w:rsid w:val="002979A6"/>
    <w:rsid w:val="002A0037"/>
    <w:rsid w:val="002A02CA"/>
    <w:rsid w:val="002A50EA"/>
    <w:rsid w:val="002A6E3C"/>
    <w:rsid w:val="002B14D5"/>
    <w:rsid w:val="002B2567"/>
    <w:rsid w:val="002B46EC"/>
    <w:rsid w:val="002B6E3B"/>
    <w:rsid w:val="002B7D05"/>
    <w:rsid w:val="002C12D2"/>
    <w:rsid w:val="002C55C9"/>
    <w:rsid w:val="002D0423"/>
    <w:rsid w:val="002D0BCD"/>
    <w:rsid w:val="002E3F63"/>
    <w:rsid w:val="002E56AE"/>
    <w:rsid w:val="002E5F14"/>
    <w:rsid w:val="002F4380"/>
    <w:rsid w:val="002F6897"/>
    <w:rsid w:val="00301DE4"/>
    <w:rsid w:val="003037C2"/>
    <w:rsid w:val="003129B2"/>
    <w:rsid w:val="00316077"/>
    <w:rsid w:val="00322D6A"/>
    <w:rsid w:val="00325F7A"/>
    <w:rsid w:val="003326FF"/>
    <w:rsid w:val="00342CC4"/>
    <w:rsid w:val="00350C8E"/>
    <w:rsid w:val="00350D6E"/>
    <w:rsid w:val="0035546F"/>
    <w:rsid w:val="00357456"/>
    <w:rsid w:val="00360B51"/>
    <w:rsid w:val="00362045"/>
    <w:rsid w:val="0036369F"/>
    <w:rsid w:val="0036375B"/>
    <w:rsid w:val="00366D34"/>
    <w:rsid w:val="00371233"/>
    <w:rsid w:val="00371934"/>
    <w:rsid w:val="0038201F"/>
    <w:rsid w:val="00384610"/>
    <w:rsid w:val="00386405"/>
    <w:rsid w:val="003868EC"/>
    <w:rsid w:val="00387A74"/>
    <w:rsid w:val="00390A98"/>
    <w:rsid w:val="00393462"/>
    <w:rsid w:val="0039399C"/>
    <w:rsid w:val="00394536"/>
    <w:rsid w:val="0039532C"/>
    <w:rsid w:val="00395A13"/>
    <w:rsid w:val="003A103E"/>
    <w:rsid w:val="003B0E5B"/>
    <w:rsid w:val="003B48AF"/>
    <w:rsid w:val="003C2CDD"/>
    <w:rsid w:val="003C50E3"/>
    <w:rsid w:val="003D14A0"/>
    <w:rsid w:val="003D7AB5"/>
    <w:rsid w:val="003E1A73"/>
    <w:rsid w:val="003E1CB9"/>
    <w:rsid w:val="003E6528"/>
    <w:rsid w:val="003E68E6"/>
    <w:rsid w:val="003F02E0"/>
    <w:rsid w:val="003F0FEC"/>
    <w:rsid w:val="00403ABD"/>
    <w:rsid w:val="00406C1F"/>
    <w:rsid w:val="004108EE"/>
    <w:rsid w:val="0041217B"/>
    <w:rsid w:val="00414CA2"/>
    <w:rsid w:val="0041695B"/>
    <w:rsid w:val="00430947"/>
    <w:rsid w:val="004469C2"/>
    <w:rsid w:val="00447593"/>
    <w:rsid w:val="00455C22"/>
    <w:rsid w:val="004600D7"/>
    <w:rsid w:val="004628E2"/>
    <w:rsid w:val="004739C6"/>
    <w:rsid w:val="00476BD5"/>
    <w:rsid w:val="0048330E"/>
    <w:rsid w:val="004A56EA"/>
    <w:rsid w:val="004B056C"/>
    <w:rsid w:val="004B465C"/>
    <w:rsid w:val="004C7246"/>
    <w:rsid w:val="004D6294"/>
    <w:rsid w:val="004E0A22"/>
    <w:rsid w:val="004E773D"/>
    <w:rsid w:val="004F4AD7"/>
    <w:rsid w:val="004F742B"/>
    <w:rsid w:val="00504155"/>
    <w:rsid w:val="00505D77"/>
    <w:rsid w:val="005061C4"/>
    <w:rsid w:val="005064DD"/>
    <w:rsid w:val="005072F9"/>
    <w:rsid w:val="005167E7"/>
    <w:rsid w:val="00523666"/>
    <w:rsid w:val="005241E2"/>
    <w:rsid w:val="005250A7"/>
    <w:rsid w:val="00525405"/>
    <w:rsid w:val="00526C3A"/>
    <w:rsid w:val="00527FD8"/>
    <w:rsid w:val="00534888"/>
    <w:rsid w:val="00535F5E"/>
    <w:rsid w:val="005411C6"/>
    <w:rsid w:val="00547D2E"/>
    <w:rsid w:val="00554F27"/>
    <w:rsid w:val="005579F0"/>
    <w:rsid w:val="00557BE5"/>
    <w:rsid w:val="00561EA8"/>
    <w:rsid w:val="00572057"/>
    <w:rsid w:val="00574563"/>
    <w:rsid w:val="00574E70"/>
    <w:rsid w:val="00585218"/>
    <w:rsid w:val="00591ED7"/>
    <w:rsid w:val="00594BFB"/>
    <w:rsid w:val="0059792E"/>
    <w:rsid w:val="005A768E"/>
    <w:rsid w:val="005D4EEC"/>
    <w:rsid w:val="005F1335"/>
    <w:rsid w:val="005F45BD"/>
    <w:rsid w:val="005F45C1"/>
    <w:rsid w:val="005F6C02"/>
    <w:rsid w:val="006000FC"/>
    <w:rsid w:val="006008E8"/>
    <w:rsid w:val="00605077"/>
    <w:rsid w:val="006058CA"/>
    <w:rsid w:val="00607BCF"/>
    <w:rsid w:val="00610A53"/>
    <w:rsid w:val="0062066B"/>
    <w:rsid w:val="0062495A"/>
    <w:rsid w:val="006315F8"/>
    <w:rsid w:val="00635D33"/>
    <w:rsid w:val="00640756"/>
    <w:rsid w:val="00640F62"/>
    <w:rsid w:val="00641C59"/>
    <w:rsid w:val="00647EE4"/>
    <w:rsid w:val="0065055F"/>
    <w:rsid w:val="006506FB"/>
    <w:rsid w:val="006508B4"/>
    <w:rsid w:val="00654BD9"/>
    <w:rsid w:val="00662C11"/>
    <w:rsid w:val="00666E4E"/>
    <w:rsid w:val="00677E6B"/>
    <w:rsid w:val="00677EE2"/>
    <w:rsid w:val="006857B8"/>
    <w:rsid w:val="00690639"/>
    <w:rsid w:val="006977E8"/>
    <w:rsid w:val="006B31CD"/>
    <w:rsid w:val="006B5D98"/>
    <w:rsid w:val="006B72F7"/>
    <w:rsid w:val="006D32D8"/>
    <w:rsid w:val="006D7E29"/>
    <w:rsid w:val="006E11F4"/>
    <w:rsid w:val="006E31FF"/>
    <w:rsid w:val="006F1367"/>
    <w:rsid w:val="006F3EE6"/>
    <w:rsid w:val="00700F4C"/>
    <w:rsid w:val="00702ED0"/>
    <w:rsid w:val="0070478D"/>
    <w:rsid w:val="00707E14"/>
    <w:rsid w:val="007106B3"/>
    <w:rsid w:val="00710BC4"/>
    <w:rsid w:val="00713312"/>
    <w:rsid w:val="00713FF5"/>
    <w:rsid w:val="00716CD7"/>
    <w:rsid w:val="00717721"/>
    <w:rsid w:val="00721F12"/>
    <w:rsid w:val="007251BA"/>
    <w:rsid w:val="007337C5"/>
    <w:rsid w:val="007414A6"/>
    <w:rsid w:val="00741645"/>
    <w:rsid w:val="00741FB1"/>
    <w:rsid w:val="0074258D"/>
    <w:rsid w:val="0074266A"/>
    <w:rsid w:val="00746679"/>
    <w:rsid w:val="00750A8D"/>
    <w:rsid w:val="00752228"/>
    <w:rsid w:val="00754144"/>
    <w:rsid w:val="007570B3"/>
    <w:rsid w:val="00760C49"/>
    <w:rsid w:val="00766804"/>
    <w:rsid w:val="0077086D"/>
    <w:rsid w:val="00781827"/>
    <w:rsid w:val="007855CA"/>
    <w:rsid w:val="00790536"/>
    <w:rsid w:val="007942D3"/>
    <w:rsid w:val="007A101B"/>
    <w:rsid w:val="007A63B5"/>
    <w:rsid w:val="007B0852"/>
    <w:rsid w:val="007B0AC9"/>
    <w:rsid w:val="007B1AAA"/>
    <w:rsid w:val="007B36B0"/>
    <w:rsid w:val="007B388E"/>
    <w:rsid w:val="007B659C"/>
    <w:rsid w:val="007C4092"/>
    <w:rsid w:val="007D4BD3"/>
    <w:rsid w:val="007E097E"/>
    <w:rsid w:val="007E2BE1"/>
    <w:rsid w:val="007E3BF1"/>
    <w:rsid w:val="007F004F"/>
    <w:rsid w:val="007F2BDD"/>
    <w:rsid w:val="007F4890"/>
    <w:rsid w:val="008035E3"/>
    <w:rsid w:val="00812618"/>
    <w:rsid w:val="00812824"/>
    <w:rsid w:val="00820838"/>
    <w:rsid w:val="00820F3E"/>
    <w:rsid w:val="00822299"/>
    <w:rsid w:val="0082351E"/>
    <w:rsid w:val="00826C12"/>
    <w:rsid w:val="00834866"/>
    <w:rsid w:val="00835079"/>
    <w:rsid w:val="008369AF"/>
    <w:rsid w:val="00837073"/>
    <w:rsid w:val="00845ED7"/>
    <w:rsid w:val="008552F2"/>
    <w:rsid w:val="0086386F"/>
    <w:rsid w:val="00864656"/>
    <w:rsid w:val="008648F4"/>
    <w:rsid w:val="008665E2"/>
    <w:rsid w:val="00867559"/>
    <w:rsid w:val="00872EBA"/>
    <w:rsid w:val="00876E00"/>
    <w:rsid w:val="00883FB4"/>
    <w:rsid w:val="0088787D"/>
    <w:rsid w:val="008A0DBF"/>
    <w:rsid w:val="008A4D31"/>
    <w:rsid w:val="008A59C4"/>
    <w:rsid w:val="008A659D"/>
    <w:rsid w:val="008C4CC0"/>
    <w:rsid w:val="008C6D54"/>
    <w:rsid w:val="008C6D77"/>
    <w:rsid w:val="008D2983"/>
    <w:rsid w:val="008D3B91"/>
    <w:rsid w:val="008D432C"/>
    <w:rsid w:val="008E18BB"/>
    <w:rsid w:val="008E3370"/>
    <w:rsid w:val="008E3F08"/>
    <w:rsid w:val="008E5631"/>
    <w:rsid w:val="008E706A"/>
    <w:rsid w:val="008F0E0F"/>
    <w:rsid w:val="008F1FB5"/>
    <w:rsid w:val="008F20BD"/>
    <w:rsid w:val="008F2746"/>
    <w:rsid w:val="008F2D8B"/>
    <w:rsid w:val="008F4453"/>
    <w:rsid w:val="008F6A7B"/>
    <w:rsid w:val="008F6B30"/>
    <w:rsid w:val="00903F2E"/>
    <w:rsid w:val="00913FD7"/>
    <w:rsid w:val="0091616F"/>
    <w:rsid w:val="0093043D"/>
    <w:rsid w:val="00932703"/>
    <w:rsid w:val="00936828"/>
    <w:rsid w:val="00940EB1"/>
    <w:rsid w:val="00941E66"/>
    <w:rsid w:val="0094220A"/>
    <w:rsid w:val="00947FC2"/>
    <w:rsid w:val="00953FCC"/>
    <w:rsid w:val="00964881"/>
    <w:rsid w:val="00967EA3"/>
    <w:rsid w:val="00971C63"/>
    <w:rsid w:val="00974E60"/>
    <w:rsid w:val="00976F64"/>
    <w:rsid w:val="00980FDD"/>
    <w:rsid w:val="00990643"/>
    <w:rsid w:val="00993679"/>
    <w:rsid w:val="00997AFF"/>
    <w:rsid w:val="009A3781"/>
    <w:rsid w:val="009B035E"/>
    <w:rsid w:val="009B0994"/>
    <w:rsid w:val="009B348D"/>
    <w:rsid w:val="009C1790"/>
    <w:rsid w:val="009D2BDB"/>
    <w:rsid w:val="009D37FD"/>
    <w:rsid w:val="009D3950"/>
    <w:rsid w:val="009D57FB"/>
    <w:rsid w:val="009D606F"/>
    <w:rsid w:val="009E25D5"/>
    <w:rsid w:val="009F3052"/>
    <w:rsid w:val="009F4AF7"/>
    <w:rsid w:val="00A0115F"/>
    <w:rsid w:val="00A012C7"/>
    <w:rsid w:val="00A04F75"/>
    <w:rsid w:val="00A07BDA"/>
    <w:rsid w:val="00A1059F"/>
    <w:rsid w:val="00A1076A"/>
    <w:rsid w:val="00A27AFB"/>
    <w:rsid w:val="00A31D96"/>
    <w:rsid w:val="00A57DAB"/>
    <w:rsid w:val="00A65B56"/>
    <w:rsid w:val="00A67EBC"/>
    <w:rsid w:val="00A70C56"/>
    <w:rsid w:val="00A713F0"/>
    <w:rsid w:val="00A742B7"/>
    <w:rsid w:val="00A82438"/>
    <w:rsid w:val="00A82B68"/>
    <w:rsid w:val="00A902C6"/>
    <w:rsid w:val="00A91962"/>
    <w:rsid w:val="00A9639B"/>
    <w:rsid w:val="00AA1FBF"/>
    <w:rsid w:val="00AA2442"/>
    <w:rsid w:val="00AA4A9A"/>
    <w:rsid w:val="00AA6830"/>
    <w:rsid w:val="00AB6014"/>
    <w:rsid w:val="00AC6D67"/>
    <w:rsid w:val="00AD5108"/>
    <w:rsid w:val="00AD6F2A"/>
    <w:rsid w:val="00AD71B3"/>
    <w:rsid w:val="00AE1075"/>
    <w:rsid w:val="00AE2397"/>
    <w:rsid w:val="00AE3BE7"/>
    <w:rsid w:val="00AF1070"/>
    <w:rsid w:val="00AF7EB8"/>
    <w:rsid w:val="00B01084"/>
    <w:rsid w:val="00B01DF2"/>
    <w:rsid w:val="00B064A9"/>
    <w:rsid w:val="00B133A0"/>
    <w:rsid w:val="00B13B06"/>
    <w:rsid w:val="00B13F32"/>
    <w:rsid w:val="00B21AB9"/>
    <w:rsid w:val="00B22658"/>
    <w:rsid w:val="00B2371F"/>
    <w:rsid w:val="00B23777"/>
    <w:rsid w:val="00B3105F"/>
    <w:rsid w:val="00B317B1"/>
    <w:rsid w:val="00B34FFA"/>
    <w:rsid w:val="00B35A15"/>
    <w:rsid w:val="00B372A3"/>
    <w:rsid w:val="00B42757"/>
    <w:rsid w:val="00B42F4E"/>
    <w:rsid w:val="00B456FE"/>
    <w:rsid w:val="00B45A30"/>
    <w:rsid w:val="00B473CE"/>
    <w:rsid w:val="00B47C49"/>
    <w:rsid w:val="00B54AE4"/>
    <w:rsid w:val="00B55C73"/>
    <w:rsid w:val="00B621CA"/>
    <w:rsid w:val="00B621F5"/>
    <w:rsid w:val="00B62901"/>
    <w:rsid w:val="00B62930"/>
    <w:rsid w:val="00B64696"/>
    <w:rsid w:val="00B734C4"/>
    <w:rsid w:val="00B8211C"/>
    <w:rsid w:val="00B83ED1"/>
    <w:rsid w:val="00B84266"/>
    <w:rsid w:val="00B85F02"/>
    <w:rsid w:val="00B90EE3"/>
    <w:rsid w:val="00B919B2"/>
    <w:rsid w:val="00BA21A6"/>
    <w:rsid w:val="00BA5648"/>
    <w:rsid w:val="00BB4557"/>
    <w:rsid w:val="00BC1AE6"/>
    <w:rsid w:val="00BC5D30"/>
    <w:rsid w:val="00BC6C83"/>
    <w:rsid w:val="00BD3DEC"/>
    <w:rsid w:val="00BE0080"/>
    <w:rsid w:val="00BF09D3"/>
    <w:rsid w:val="00C01244"/>
    <w:rsid w:val="00C0203F"/>
    <w:rsid w:val="00C04E5B"/>
    <w:rsid w:val="00C110BA"/>
    <w:rsid w:val="00C1112E"/>
    <w:rsid w:val="00C136AA"/>
    <w:rsid w:val="00C3018F"/>
    <w:rsid w:val="00C308CD"/>
    <w:rsid w:val="00C44B7D"/>
    <w:rsid w:val="00C469AA"/>
    <w:rsid w:val="00C476AC"/>
    <w:rsid w:val="00C5334F"/>
    <w:rsid w:val="00C54943"/>
    <w:rsid w:val="00C712DD"/>
    <w:rsid w:val="00C73BFF"/>
    <w:rsid w:val="00C80819"/>
    <w:rsid w:val="00C942D8"/>
    <w:rsid w:val="00CA0F3C"/>
    <w:rsid w:val="00CA6C5D"/>
    <w:rsid w:val="00CB7D92"/>
    <w:rsid w:val="00CC290E"/>
    <w:rsid w:val="00CD5039"/>
    <w:rsid w:val="00CD5282"/>
    <w:rsid w:val="00CD6CED"/>
    <w:rsid w:val="00CF5DC3"/>
    <w:rsid w:val="00D01380"/>
    <w:rsid w:val="00D027EE"/>
    <w:rsid w:val="00D06482"/>
    <w:rsid w:val="00D06AF8"/>
    <w:rsid w:val="00D07A6D"/>
    <w:rsid w:val="00D07FA0"/>
    <w:rsid w:val="00D104EC"/>
    <w:rsid w:val="00D10CA3"/>
    <w:rsid w:val="00D13F02"/>
    <w:rsid w:val="00D152D8"/>
    <w:rsid w:val="00D16056"/>
    <w:rsid w:val="00D2056B"/>
    <w:rsid w:val="00D237D6"/>
    <w:rsid w:val="00D25D77"/>
    <w:rsid w:val="00D31496"/>
    <w:rsid w:val="00D34F57"/>
    <w:rsid w:val="00D3645D"/>
    <w:rsid w:val="00D37B24"/>
    <w:rsid w:val="00D37CAE"/>
    <w:rsid w:val="00D40693"/>
    <w:rsid w:val="00D41D5B"/>
    <w:rsid w:val="00D471C4"/>
    <w:rsid w:val="00D4727E"/>
    <w:rsid w:val="00D51145"/>
    <w:rsid w:val="00D52DBE"/>
    <w:rsid w:val="00D56685"/>
    <w:rsid w:val="00D65D2C"/>
    <w:rsid w:val="00D6633E"/>
    <w:rsid w:val="00D73AA2"/>
    <w:rsid w:val="00D81756"/>
    <w:rsid w:val="00D92243"/>
    <w:rsid w:val="00D9225A"/>
    <w:rsid w:val="00D92A62"/>
    <w:rsid w:val="00D94FBD"/>
    <w:rsid w:val="00DA0633"/>
    <w:rsid w:val="00DB4B92"/>
    <w:rsid w:val="00DB7A54"/>
    <w:rsid w:val="00DC2D7E"/>
    <w:rsid w:val="00DC406E"/>
    <w:rsid w:val="00DE4703"/>
    <w:rsid w:val="00DF28FD"/>
    <w:rsid w:val="00DF454F"/>
    <w:rsid w:val="00E0305B"/>
    <w:rsid w:val="00E03C4D"/>
    <w:rsid w:val="00E10762"/>
    <w:rsid w:val="00E164C0"/>
    <w:rsid w:val="00E16D71"/>
    <w:rsid w:val="00E1758F"/>
    <w:rsid w:val="00E25C9F"/>
    <w:rsid w:val="00E27AB4"/>
    <w:rsid w:val="00E3338A"/>
    <w:rsid w:val="00E37481"/>
    <w:rsid w:val="00E4347C"/>
    <w:rsid w:val="00E61310"/>
    <w:rsid w:val="00E63692"/>
    <w:rsid w:val="00E64546"/>
    <w:rsid w:val="00E6492E"/>
    <w:rsid w:val="00E672D8"/>
    <w:rsid w:val="00E7030C"/>
    <w:rsid w:val="00E733F3"/>
    <w:rsid w:val="00E808B0"/>
    <w:rsid w:val="00E9479D"/>
    <w:rsid w:val="00E962B4"/>
    <w:rsid w:val="00EA0580"/>
    <w:rsid w:val="00EA383A"/>
    <w:rsid w:val="00EA5D85"/>
    <w:rsid w:val="00EB47E3"/>
    <w:rsid w:val="00EB521A"/>
    <w:rsid w:val="00EC02D9"/>
    <w:rsid w:val="00EC09C8"/>
    <w:rsid w:val="00EC292E"/>
    <w:rsid w:val="00EC3F33"/>
    <w:rsid w:val="00ED5170"/>
    <w:rsid w:val="00ED6E48"/>
    <w:rsid w:val="00ED7119"/>
    <w:rsid w:val="00EE30F0"/>
    <w:rsid w:val="00EE6341"/>
    <w:rsid w:val="00EF0E43"/>
    <w:rsid w:val="00EF71BF"/>
    <w:rsid w:val="00EF73B3"/>
    <w:rsid w:val="00F01F5A"/>
    <w:rsid w:val="00F05D5B"/>
    <w:rsid w:val="00F14D0F"/>
    <w:rsid w:val="00F1530E"/>
    <w:rsid w:val="00F218F1"/>
    <w:rsid w:val="00F31E71"/>
    <w:rsid w:val="00F33FCD"/>
    <w:rsid w:val="00F340B7"/>
    <w:rsid w:val="00F34259"/>
    <w:rsid w:val="00F43382"/>
    <w:rsid w:val="00F44EEA"/>
    <w:rsid w:val="00F46A84"/>
    <w:rsid w:val="00F5093A"/>
    <w:rsid w:val="00F51529"/>
    <w:rsid w:val="00F53EFD"/>
    <w:rsid w:val="00F61008"/>
    <w:rsid w:val="00F6127C"/>
    <w:rsid w:val="00F62ECA"/>
    <w:rsid w:val="00F666FC"/>
    <w:rsid w:val="00F678D2"/>
    <w:rsid w:val="00F92242"/>
    <w:rsid w:val="00FA17D1"/>
    <w:rsid w:val="00FA2CE6"/>
    <w:rsid w:val="00FA3461"/>
    <w:rsid w:val="00FA53F6"/>
    <w:rsid w:val="00FA5865"/>
    <w:rsid w:val="00FA6AD2"/>
    <w:rsid w:val="00FA7BC6"/>
    <w:rsid w:val="00FA7F10"/>
    <w:rsid w:val="00FB152D"/>
    <w:rsid w:val="00FB2EDD"/>
    <w:rsid w:val="00FB42F5"/>
    <w:rsid w:val="00FB4B1F"/>
    <w:rsid w:val="00FC048D"/>
    <w:rsid w:val="00FC309C"/>
    <w:rsid w:val="00FC7124"/>
    <w:rsid w:val="00FC75CC"/>
    <w:rsid w:val="00FD418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80411F"/>
  <w15:docId w15:val="{B2D5C7C7-1AFA-4C6C-A962-A32EDCA20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950"/>
    <w:pPr>
      <w:spacing w:after="100" w:line="240" w:lineRule="auto"/>
    </w:pPr>
    <w:rPr>
      <w:rFonts w:asciiTheme="minorHAnsi" w:hAnsiTheme="minorHAnsi"/>
    </w:rPr>
  </w:style>
  <w:style w:type="paragraph" w:styleId="Heading1">
    <w:name w:val="heading 1"/>
    <w:basedOn w:val="Normal"/>
    <w:next w:val="Normal"/>
    <w:link w:val="Heading1Char"/>
    <w:uiPriority w:val="9"/>
    <w:qFormat/>
    <w:rsid w:val="006508B4"/>
    <w:pPr>
      <w:outlineLvl w:val="0"/>
    </w:pPr>
    <w:rPr>
      <w:rFonts w:asciiTheme="majorHAnsi" w:hAnsiTheme="majorHAnsi"/>
      <w:b/>
      <w:color w:val="00A0DC" w:themeColor="text2"/>
      <w:sz w:val="28"/>
    </w:rPr>
  </w:style>
  <w:style w:type="paragraph" w:styleId="Heading2">
    <w:name w:val="heading 2"/>
    <w:basedOn w:val="Heading1"/>
    <w:next w:val="Normal"/>
    <w:link w:val="Heading2Char"/>
    <w:uiPriority w:val="9"/>
    <w:unhideWhenUsed/>
    <w:qFormat/>
    <w:rsid w:val="006508B4"/>
    <w:pPr>
      <w:outlineLvl w:val="1"/>
    </w:pPr>
    <w:rPr>
      <w:sz w:val="24"/>
    </w:rPr>
  </w:style>
  <w:style w:type="paragraph" w:styleId="Heading3">
    <w:name w:val="heading 3"/>
    <w:basedOn w:val="Heading2"/>
    <w:next w:val="Normal"/>
    <w:link w:val="Heading3Char"/>
    <w:uiPriority w:val="9"/>
    <w:unhideWhenUsed/>
    <w:qFormat/>
    <w:rsid w:val="006508B4"/>
    <w:pPr>
      <w:outlineLvl w:val="2"/>
    </w:pPr>
    <w:rPr>
      <w:sz w:val="20"/>
    </w:rPr>
  </w:style>
  <w:style w:type="paragraph" w:styleId="Heading4">
    <w:name w:val="heading 4"/>
    <w:basedOn w:val="Heading3"/>
    <w:next w:val="Normal"/>
    <w:link w:val="Heading4Char"/>
    <w:uiPriority w:val="9"/>
    <w:unhideWhenUsed/>
    <w:qFormat/>
    <w:rsid w:val="00980FDD"/>
    <w:pPr>
      <w:outlineLvl w:val="3"/>
    </w:pPr>
    <w:rPr>
      <w:color w:val="auto"/>
      <w:sz w:val="28"/>
    </w:rPr>
  </w:style>
  <w:style w:type="paragraph" w:styleId="Heading5">
    <w:name w:val="heading 5"/>
    <w:basedOn w:val="Heading4"/>
    <w:next w:val="Normal"/>
    <w:link w:val="Heading5Char"/>
    <w:uiPriority w:val="9"/>
    <w:unhideWhenUsed/>
    <w:qFormat/>
    <w:rsid w:val="00980FDD"/>
    <w:pPr>
      <w:outlineLvl w:val="4"/>
    </w:pPr>
    <w:rPr>
      <w:sz w:val="24"/>
    </w:rPr>
  </w:style>
  <w:style w:type="paragraph" w:styleId="Heading6">
    <w:name w:val="heading 6"/>
    <w:basedOn w:val="Heading5"/>
    <w:next w:val="Normal"/>
    <w:link w:val="Heading6Char"/>
    <w:uiPriority w:val="9"/>
    <w:unhideWhenUsed/>
    <w:qFormat/>
    <w:rsid w:val="00980FDD"/>
    <w:pPr>
      <w:outlineLvl w:val="5"/>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08B4"/>
    <w:rPr>
      <w:rFonts w:asciiTheme="majorHAnsi" w:hAnsiTheme="majorHAnsi"/>
      <w:b/>
      <w:color w:val="00A0DC" w:themeColor="text2"/>
      <w:sz w:val="28"/>
    </w:rPr>
  </w:style>
  <w:style w:type="character" w:customStyle="1" w:styleId="Heading2Char">
    <w:name w:val="Heading 2 Char"/>
    <w:basedOn w:val="DefaultParagraphFont"/>
    <w:link w:val="Heading2"/>
    <w:uiPriority w:val="9"/>
    <w:rsid w:val="006508B4"/>
    <w:rPr>
      <w:rFonts w:asciiTheme="majorHAnsi" w:hAnsiTheme="majorHAnsi"/>
      <w:b/>
      <w:color w:val="00A0DC" w:themeColor="text2"/>
      <w:sz w:val="24"/>
    </w:rPr>
  </w:style>
  <w:style w:type="character" w:customStyle="1" w:styleId="Heading3Char">
    <w:name w:val="Heading 3 Char"/>
    <w:basedOn w:val="DefaultParagraphFont"/>
    <w:link w:val="Heading3"/>
    <w:uiPriority w:val="9"/>
    <w:rsid w:val="006508B4"/>
    <w:rPr>
      <w:rFonts w:asciiTheme="majorHAnsi" w:hAnsiTheme="majorHAnsi"/>
      <w:b/>
      <w:color w:val="00A0DC" w:themeColor="text2"/>
    </w:rPr>
  </w:style>
  <w:style w:type="character" w:customStyle="1" w:styleId="Heading4Char">
    <w:name w:val="Heading 4 Char"/>
    <w:basedOn w:val="DefaultParagraphFont"/>
    <w:link w:val="Heading4"/>
    <w:uiPriority w:val="9"/>
    <w:rsid w:val="00980FDD"/>
    <w:rPr>
      <w:rFonts w:asciiTheme="majorHAnsi" w:hAnsiTheme="majorHAnsi"/>
      <w:b/>
      <w:sz w:val="28"/>
    </w:rPr>
  </w:style>
  <w:style w:type="character" w:customStyle="1" w:styleId="Heading5Char">
    <w:name w:val="Heading 5 Char"/>
    <w:basedOn w:val="DefaultParagraphFont"/>
    <w:link w:val="Heading5"/>
    <w:uiPriority w:val="9"/>
    <w:rsid w:val="00980FDD"/>
    <w:rPr>
      <w:rFonts w:asciiTheme="majorHAnsi" w:hAnsiTheme="majorHAnsi"/>
      <w:b/>
      <w:sz w:val="24"/>
    </w:rPr>
  </w:style>
  <w:style w:type="character" w:customStyle="1" w:styleId="Heading6Char">
    <w:name w:val="Heading 6 Char"/>
    <w:basedOn w:val="DefaultParagraphFont"/>
    <w:link w:val="Heading6"/>
    <w:uiPriority w:val="9"/>
    <w:rsid w:val="00980FDD"/>
    <w:rPr>
      <w:rFonts w:asciiTheme="majorHAnsi" w:hAnsiTheme="majorHAnsi"/>
      <w:b/>
    </w:rPr>
  </w:style>
  <w:style w:type="table" w:styleId="TableGrid">
    <w:name w:val="Table Grid"/>
    <w:basedOn w:val="TableNormal"/>
    <w:uiPriority w:val="59"/>
    <w:rsid w:val="00B83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3">
    <w:name w:val="Light Shading Accent 3"/>
    <w:basedOn w:val="TableNormal"/>
    <w:uiPriority w:val="60"/>
    <w:rsid w:val="00B83ED1"/>
    <w:pPr>
      <w:spacing w:after="0" w:line="240" w:lineRule="auto"/>
    </w:pPr>
    <w:rPr>
      <w:color w:val="036186" w:themeColor="accent3" w:themeShade="BF"/>
    </w:rPr>
    <w:tblPr>
      <w:tblStyleRowBandSize w:val="1"/>
      <w:tblStyleColBandSize w:val="1"/>
      <w:tblBorders>
        <w:top w:val="single" w:sz="8" w:space="0" w:color="0582B4" w:themeColor="accent3"/>
        <w:bottom w:val="single" w:sz="8" w:space="0" w:color="0582B4" w:themeColor="accent3"/>
      </w:tblBorders>
    </w:tblPr>
    <w:tblStylePr w:type="firstRow">
      <w:pPr>
        <w:spacing w:before="0" w:after="0" w:line="240" w:lineRule="auto"/>
      </w:pPr>
      <w:rPr>
        <w:b/>
        <w:bCs/>
      </w:rPr>
      <w:tblPr/>
      <w:tcPr>
        <w:tcBorders>
          <w:top w:val="single" w:sz="8" w:space="0" w:color="0582B4" w:themeColor="accent3"/>
          <w:left w:val="nil"/>
          <w:bottom w:val="single" w:sz="8" w:space="0" w:color="0582B4" w:themeColor="accent3"/>
          <w:right w:val="nil"/>
          <w:insideH w:val="nil"/>
          <w:insideV w:val="nil"/>
        </w:tcBorders>
      </w:tcPr>
    </w:tblStylePr>
    <w:tblStylePr w:type="lastRow">
      <w:pPr>
        <w:spacing w:before="0" w:after="0" w:line="240" w:lineRule="auto"/>
      </w:pPr>
      <w:rPr>
        <w:b/>
        <w:bCs/>
      </w:rPr>
      <w:tblPr/>
      <w:tcPr>
        <w:tcBorders>
          <w:top w:val="single" w:sz="8" w:space="0" w:color="0582B4" w:themeColor="accent3"/>
          <w:left w:val="nil"/>
          <w:bottom w:val="single" w:sz="8" w:space="0" w:color="0582B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E7FC" w:themeFill="accent3" w:themeFillTint="3F"/>
      </w:tcPr>
    </w:tblStylePr>
    <w:tblStylePr w:type="band1Horz">
      <w:tblPr/>
      <w:tcPr>
        <w:tcBorders>
          <w:left w:val="nil"/>
          <w:right w:val="nil"/>
          <w:insideH w:val="nil"/>
          <w:insideV w:val="nil"/>
        </w:tcBorders>
        <w:shd w:val="clear" w:color="auto" w:fill="B0E7FC" w:themeFill="accent3" w:themeFillTint="3F"/>
      </w:tcPr>
    </w:tblStylePr>
  </w:style>
  <w:style w:type="table" w:styleId="LightList-Accent3">
    <w:name w:val="Light List Accent 3"/>
    <w:basedOn w:val="TableNormal"/>
    <w:uiPriority w:val="61"/>
    <w:rsid w:val="00B83ED1"/>
    <w:pPr>
      <w:spacing w:after="0" w:line="240" w:lineRule="auto"/>
    </w:pPr>
    <w:tblPr>
      <w:tblStyleRowBandSize w:val="1"/>
      <w:tblStyleColBandSize w:val="1"/>
      <w:tblBorders>
        <w:top w:val="single" w:sz="8" w:space="0" w:color="0582B4" w:themeColor="accent3"/>
        <w:left w:val="single" w:sz="8" w:space="0" w:color="0582B4" w:themeColor="accent3"/>
        <w:bottom w:val="single" w:sz="8" w:space="0" w:color="0582B4" w:themeColor="accent3"/>
        <w:right w:val="single" w:sz="8" w:space="0" w:color="0582B4" w:themeColor="accent3"/>
      </w:tblBorders>
    </w:tblPr>
    <w:tblStylePr w:type="firstRow">
      <w:pPr>
        <w:spacing w:before="0" w:after="0" w:line="240" w:lineRule="auto"/>
      </w:pPr>
      <w:rPr>
        <w:b/>
        <w:bCs/>
        <w:color w:val="FFFFFF" w:themeColor="background1"/>
      </w:rPr>
      <w:tblPr/>
      <w:tcPr>
        <w:shd w:val="clear" w:color="auto" w:fill="0582B4" w:themeFill="accent3"/>
      </w:tcPr>
    </w:tblStylePr>
    <w:tblStylePr w:type="lastRow">
      <w:pPr>
        <w:spacing w:before="0" w:after="0" w:line="240" w:lineRule="auto"/>
      </w:pPr>
      <w:rPr>
        <w:b/>
        <w:bCs/>
      </w:rPr>
      <w:tblPr/>
      <w:tcPr>
        <w:tcBorders>
          <w:top w:val="double" w:sz="6" w:space="0" w:color="0582B4" w:themeColor="accent3"/>
          <w:left w:val="single" w:sz="8" w:space="0" w:color="0582B4" w:themeColor="accent3"/>
          <w:bottom w:val="single" w:sz="8" w:space="0" w:color="0582B4" w:themeColor="accent3"/>
          <w:right w:val="single" w:sz="8" w:space="0" w:color="0582B4" w:themeColor="accent3"/>
        </w:tcBorders>
      </w:tcPr>
    </w:tblStylePr>
    <w:tblStylePr w:type="firstCol">
      <w:rPr>
        <w:b/>
        <w:bCs/>
      </w:rPr>
    </w:tblStylePr>
    <w:tblStylePr w:type="lastCol">
      <w:rPr>
        <w:b/>
        <w:bCs/>
      </w:rPr>
    </w:tblStylePr>
    <w:tblStylePr w:type="band1Vert">
      <w:tblPr/>
      <w:tcPr>
        <w:tcBorders>
          <w:top w:val="single" w:sz="8" w:space="0" w:color="0582B4" w:themeColor="accent3"/>
          <w:left w:val="single" w:sz="8" w:space="0" w:color="0582B4" w:themeColor="accent3"/>
          <w:bottom w:val="single" w:sz="8" w:space="0" w:color="0582B4" w:themeColor="accent3"/>
          <w:right w:val="single" w:sz="8" w:space="0" w:color="0582B4" w:themeColor="accent3"/>
        </w:tcBorders>
      </w:tcPr>
    </w:tblStylePr>
    <w:tblStylePr w:type="band1Horz">
      <w:tblPr/>
      <w:tcPr>
        <w:tcBorders>
          <w:top w:val="single" w:sz="8" w:space="0" w:color="0582B4" w:themeColor="accent3"/>
          <w:left w:val="single" w:sz="8" w:space="0" w:color="0582B4" w:themeColor="accent3"/>
          <w:bottom w:val="single" w:sz="8" w:space="0" w:color="0582B4" w:themeColor="accent3"/>
          <w:right w:val="single" w:sz="8" w:space="0" w:color="0582B4" w:themeColor="accent3"/>
        </w:tcBorders>
      </w:tcPr>
    </w:tblStylePr>
  </w:style>
  <w:style w:type="table" w:styleId="LightList-Accent4">
    <w:name w:val="Light List Accent 4"/>
    <w:basedOn w:val="TableNormal"/>
    <w:uiPriority w:val="61"/>
    <w:rsid w:val="00EA383A"/>
    <w:pPr>
      <w:spacing w:after="0" w:line="240" w:lineRule="auto"/>
    </w:pPr>
    <w:tblPr>
      <w:tblStyleRowBandSize w:val="1"/>
      <w:tblStyleColBandSize w:val="1"/>
      <w:tblBorders>
        <w:top w:val="single" w:sz="8" w:space="0" w:color="05648C" w:themeColor="accent4"/>
        <w:left w:val="single" w:sz="8" w:space="0" w:color="05648C" w:themeColor="accent4"/>
        <w:bottom w:val="single" w:sz="8" w:space="0" w:color="05648C" w:themeColor="accent4"/>
        <w:right w:val="single" w:sz="8" w:space="0" w:color="05648C" w:themeColor="accent4"/>
      </w:tblBorders>
    </w:tblPr>
    <w:tblStylePr w:type="firstRow">
      <w:pPr>
        <w:spacing w:before="0" w:after="0" w:line="240" w:lineRule="auto"/>
      </w:pPr>
      <w:rPr>
        <w:b/>
        <w:bCs/>
        <w:color w:val="FFFFFF" w:themeColor="background1"/>
      </w:rPr>
      <w:tblPr/>
      <w:tcPr>
        <w:shd w:val="clear" w:color="auto" w:fill="05648C" w:themeFill="accent4"/>
      </w:tcPr>
    </w:tblStylePr>
    <w:tblStylePr w:type="lastRow">
      <w:pPr>
        <w:spacing w:before="0" w:after="0" w:line="240" w:lineRule="auto"/>
      </w:pPr>
      <w:rPr>
        <w:b/>
        <w:bCs/>
      </w:rPr>
      <w:tblPr/>
      <w:tcPr>
        <w:tcBorders>
          <w:top w:val="double" w:sz="6" w:space="0" w:color="05648C" w:themeColor="accent4"/>
          <w:left w:val="single" w:sz="8" w:space="0" w:color="05648C" w:themeColor="accent4"/>
          <w:bottom w:val="single" w:sz="8" w:space="0" w:color="05648C" w:themeColor="accent4"/>
          <w:right w:val="single" w:sz="8" w:space="0" w:color="05648C" w:themeColor="accent4"/>
        </w:tcBorders>
      </w:tcPr>
    </w:tblStylePr>
    <w:tblStylePr w:type="firstCol">
      <w:rPr>
        <w:b/>
        <w:bCs/>
      </w:rPr>
    </w:tblStylePr>
    <w:tblStylePr w:type="lastCol">
      <w:rPr>
        <w:b/>
        <w:bCs/>
      </w:rPr>
    </w:tblStylePr>
    <w:tblStylePr w:type="band1Vert">
      <w:tblPr/>
      <w:tcPr>
        <w:tcBorders>
          <w:top w:val="single" w:sz="8" w:space="0" w:color="05648C" w:themeColor="accent4"/>
          <w:left w:val="single" w:sz="8" w:space="0" w:color="05648C" w:themeColor="accent4"/>
          <w:bottom w:val="single" w:sz="8" w:space="0" w:color="05648C" w:themeColor="accent4"/>
          <w:right w:val="single" w:sz="8" w:space="0" w:color="05648C" w:themeColor="accent4"/>
        </w:tcBorders>
      </w:tcPr>
    </w:tblStylePr>
    <w:tblStylePr w:type="band1Horz">
      <w:tblPr/>
      <w:tcPr>
        <w:tcBorders>
          <w:top w:val="single" w:sz="8" w:space="0" w:color="05648C" w:themeColor="accent4"/>
          <w:left w:val="single" w:sz="8" w:space="0" w:color="05648C" w:themeColor="accent4"/>
          <w:bottom w:val="single" w:sz="8" w:space="0" w:color="05648C" w:themeColor="accent4"/>
          <w:right w:val="single" w:sz="8" w:space="0" w:color="05648C" w:themeColor="accent4"/>
        </w:tcBorders>
      </w:tcPr>
    </w:tblStylePr>
  </w:style>
  <w:style w:type="table" w:styleId="LightList-Accent1">
    <w:name w:val="Light List Accent 1"/>
    <w:basedOn w:val="TableNormal"/>
    <w:uiPriority w:val="61"/>
    <w:rsid w:val="00EA383A"/>
    <w:pPr>
      <w:spacing w:after="0" w:line="240" w:lineRule="auto"/>
    </w:pPr>
    <w:tblPr>
      <w:tblStyleRowBandSize w:val="1"/>
      <w:tblStyleColBandSize w:val="1"/>
      <w:tblBorders>
        <w:top w:val="single" w:sz="8" w:space="0" w:color="82C8F0" w:themeColor="accent1"/>
        <w:left w:val="single" w:sz="8" w:space="0" w:color="82C8F0" w:themeColor="accent1"/>
        <w:bottom w:val="single" w:sz="8" w:space="0" w:color="82C8F0" w:themeColor="accent1"/>
        <w:right w:val="single" w:sz="8" w:space="0" w:color="82C8F0" w:themeColor="accent1"/>
      </w:tblBorders>
    </w:tblPr>
    <w:tblStylePr w:type="firstRow">
      <w:pPr>
        <w:spacing w:before="0" w:after="0" w:line="240" w:lineRule="auto"/>
      </w:pPr>
      <w:rPr>
        <w:b/>
        <w:bCs/>
        <w:color w:val="FFFFFF" w:themeColor="background1"/>
      </w:rPr>
      <w:tblPr/>
      <w:tcPr>
        <w:shd w:val="clear" w:color="auto" w:fill="82C8F0" w:themeFill="accent1"/>
      </w:tcPr>
    </w:tblStylePr>
    <w:tblStylePr w:type="lastRow">
      <w:pPr>
        <w:spacing w:before="0" w:after="0" w:line="240" w:lineRule="auto"/>
      </w:pPr>
      <w:rPr>
        <w:b/>
        <w:bCs/>
      </w:rPr>
      <w:tblPr/>
      <w:tcPr>
        <w:tcBorders>
          <w:top w:val="double" w:sz="6" w:space="0" w:color="82C8F0" w:themeColor="accent1"/>
          <w:left w:val="single" w:sz="8" w:space="0" w:color="82C8F0" w:themeColor="accent1"/>
          <w:bottom w:val="single" w:sz="8" w:space="0" w:color="82C8F0" w:themeColor="accent1"/>
          <w:right w:val="single" w:sz="8" w:space="0" w:color="82C8F0" w:themeColor="accent1"/>
        </w:tcBorders>
      </w:tcPr>
    </w:tblStylePr>
    <w:tblStylePr w:type="firstCol">
      <w:rPr>
        <w:b/>
        <w:bCs/>
      </w:rPr>
    </w:tblStylePr>
    <w:tblStylePr w:type="lastCol">
      <w:rPr>
        <w:b/>
        <w:bCs/>
      </w:rPr>
    </w:tblStylePr>
    <w:tblStylePr w:type="band1Vert">
      <w:tblPr/>
      <w:tcPr>
        <w:tcBorders>
          <w:top w:val="single" w:sz="8" w:space="0" w:color="82C8F0" w:themeColor="accent1"/>
          <w:left w:val="single" w:sz="8" w:space="0" w:color="82C8F0" w:themeColor="accent1"/>
          <w:bottom w:val="single" w:sz="8" w:space="0" w:color="82C8F0" w:themeColor="accent1"/>
          <w:right w:val="single" w:sz="8" w:space="0" w:color="82C8F0" w:themeColor="accent1"/>
        </w:tcBorders>
      </w:tcPr>
    </w:tblStylePr>
    <w:tblStylePr w:type="band1Horz">
      <w:tblPr/>
      <w:tcPr>
        <w:tcBorders>
          <w:top w:val="single" w:sz="8" w:space="0" w:color="82C8F0" w:themeColor="accent1"/>
          <w:left w:val="single" w:sz="8" w:space="0" w:color="82C8F0" w:themeColor="accent1"/>
          <w:bottom w:val="single" w:sz="8" w:space="0" w:color="82C8F0" w:themeColor="accent1"/>
          <w:right w:val="single" w:sz="8" w:space="0" w:color="82C8F0" w:themeColor="accent1"/>
        </w:tcBorders>
      </w:tcPr>
    </w:tblStylePr>
  </w:style>
  <w:style w:type="table" w:styleId="LightList-Accent2">
    <w:name w:val="Light List Accent 2"/>
    <w:basedOn w:val="TableNormal"/>
    <w:uiPriority w:val="61"/>
    <w:rsid w:val="00EA383A"/>
    <w:pPr>
      <w:spacing w:after="0" w:line="240" w:lineRule="auto"/>
    </w:pPr>
    <w:tblPr>
      <w:tblStyleRowBandSize w:val="1"/>
      <w:tblStyleColBandSize w:val="1"/>
      <w:tblBorders>
        <w:top w:val="single" w:sz="8" w:space="0" w:color="00A0DC" w:themeColor="accent2"/>
        <w:left w:val="single" w:sz="8" w:space="0" w:color="00A0DC" w:themeColor="accent2"/>
        <w:bottom w:val="single" w:sz="8" w:space="0" w:color="00A0DC" w:themeColor="accent2"/>
        <w:right w:val="single" w:sz="8" w:space="0" w:color="00A0DC" w:themeColor="accent2"/>
      </w:tblBorders>
    </w:tblPr>
    <w:tblStylePr w:type="firstRow">
      <w:pPr>
        <w:spacing w:before="0" w:after="0" w:line="240" w:lineRule="auto"/>
      </w:pPr>
      <w:rPr>
        <w:b/>
        <w:bCs/>
        <w:color w:val="FFFFFF" w:themeColor="background1"/>
      </w:rPr>
      <w:tblPr/>
      <w:tcPr>
        <w:shd w:val="clear" w:color="auto" w:fill="00A0DC" w:themeFill="accent2"/>
      </w:tcPr>
    </w:tblStylePr>
    <w:tblStylePr w:type="lastRow">
      <w:pPr>
        <w:spacing w:before="0" w:after="0" w:line="240" w:lineRule="auto"/>
      </w:pPr>
      <w:rPr>
        <w:b/>
        <w:bCs/>
      </w:rPr>
      <w:tblPr/>
      <w:tcPr>
        <w:tcBorders>
          <w:top w:val="double" w:sz="6" w:space="0" w:color="00A0DC" w:themeColor="accent2"/>
          <w:left w:val="single" w:sz="8" w:space="0" w:color="00A0DC" w:themeColor="accent2"/>
          <w:bottom w:val="single" w:sz="8" w:space="0" w:color="00A0DC" w:themeColor="accent2"/>
          <w:right w:val="single" w:sz="8" w:space="0" w:color="00A0DC" w:themeColor="accent2"/>
        </w:tcBorders>
      </w:tcPr>
    </w:tblStylePr>
    <w:tblStylePr w:type="firstCol">
      <w:rPr>
        <w:b/>
        <w:bCs/>
      </w:rPr>
    </w:tblStylePr>
    <w:tblStylePr w:type="lastCol">
      <w:rPr>
        <w:b/>
        <w:bCs/>
      </w:rPr>
    </w:tblStylePr>
    <w:tblStylePr w:type="band1Vert">
      <w:tblPr/>
      <w:tcPr>
        <w:tcBorders>
          <w:top w:val="single" w:sz="8" w:space="0" w:color="00A0DC" w:themeColor="accent2"/>
          <w:left w:val="single" w:sz="8" w:space="0" w:color="00A0DC" w:themeColor="accent2"/>
          <w:bottom w:val="single" w:sz="8" w:space="0" w:color="00A0DC" w:themeColor="accent2"/>
          <w:right w:val="single" w:sz="8" w:space="0" w:color="00A0DC" w:themeColor="accent2"/>
        </w:tcBorders>
      </w:tcPr>
    </w:tblStylePr>
    <w:tblStylePr w:type="band1Horz">
      <w:tblPr/>
      <w:tcPr>
        <w:tcBorders>
          <w:top w:val="single" w:sz="8" w:space="0" w:color="00A0DC" w:themeColor="accent2"/>
          <w:left w:val="single" w:sz="8" w:space="0" w:color="00A0DC" w:themeColor="accent2"/>
          <w:bottom w:val="single" w:sz="8" w:space="0" w:color="00A0DC" w:themeColor="accent2"/>
          <w:right w:val="single" w:sz="8" w:space="0" w:color="00A0DC" w:themeColor="accent2"/>
        </w:tcBorders>
      </w:tcPr>
    </w:tblStylePr>
  </w:style>
  <w:style w:type="table" w:styleId="LightList-Accent5">
    <w:name w:val="Light List Accent 5"/>
    <w:basedOn w:val="TableNormal"/>
    <w:uiPriority w:val="61"/>
    <w:rsid w:val="00EA383A"/>
    <w:pPr>
      <w:spacing w:after="0" w:line="240" w:lineRule="auto"/>
    </w:pPr>
    <w:tblPr>
      <w:tblStyleRowBandSize w:val="1"/>
      <w:tblStyleColBandSize w:val="1"/>
      <w:tblBorders>
        <w:top w:val="single" w:sz="8" w:space="0" w:color="7AB51D" w:themeColor="accent5"/>
        <w:left w:val="single" w:sz="8" w:space="0" w:color="7AB51D" w:themeColor="accent5"/>
        <w:bottom w:val="single" w:sz="8" w:space="0" w:color="7AB51D" w:themeColor="accent5"/>
        <w:right w:val="single" w:sz="8" w:space="0" w:color="7AB51D" w:themeColor="accent5"/>
      </w:tblBorders>
    </w:tblPr>
    <w:tblStylePr w:type="firstRow">
      <w:pPr>
        <w:spacing w:before="0" w:after="0" w:line="240" w:lineRule="auto"/>
      </w:pPr>
      <w:rPr>
        <w:b/>
        <w:bCs/>
        <w:color w:val="FFFFFF" w:themeColor="background1"/>
      </w:rPr>
      <w:tblPr/>
      <w:tcPr>
        <w:shd w:val="clear" w:color="auto" w:fill="7AB51D" w:themeFill="accent5"/>
      </w:tcPr>
    </w:tblStylePr>
    <w:tblStylePr w:type="lastRow">
      <w:pPr>
        <w:spacing w:before="0" w:after="0" w:line="240" w:lineRule="auto"/>
      </w:pPr>
      <w:rPr>
        <w:b/>
        <w:bCs/>
      </w:rPr>
      <w:tblPr/>
      <w:tcPr>
        <w:tcBorders>
          <w:top w:val="double" w:sz="6" w:space="0" w:color="7AB51D" w:themeColor="accent5"/>
          <w:left w:val="single" w:sz="8" w:space="0" w:color="7AB51D" w:themeColor="accent5"/>
          <w:bottom w:val="single" w:sz="8" w:space="0" w:color="7AB51D" w:themeColor="accent5"/>
          <w:right w:val="single" w:sz="8" w:space="0" w:color="7AB51D" w:themeColor="accent5"/>
        </w:tcBorders>
      </w:tcPr>
    </w:tblStylePr>
    <w:tblStylePr w:type="firstCol">
      <w:rPr>
        <w:b/>
        <w:bCs/>
      </w:rPr>
    </w:tblStylePr>
    <w:tblStylePr w:type="lastCol">
      <w:rPr>
        <w:b/>
        <w:bCs/>
      </w:rPr>
    </w:tblStylePr>
    <w:tblStylePr w:type="band1Vert">
      <w:tblPr/>
      <w:tcPr>
        <w:tcBorders>
          <w:top w:val="single" w:sz="8" w:space="0" w:color="7AB51D" w:themeColor="accent5"/>
          <w:left w:val="single" w:sz="8" w:space="0" w:color="7AB51D" w:themeColor="accent5"/>
          <w:bottom w:val="single" w:sz="8" w:space="0" w:color="7AB51D" w:themeColor="accent5"/>
          <w:right w:val="single" w:sz="8" w:space="0" w:color="7AB51D" w:themeColor="accent5"/>
        </w:tcBorders>
      </w:tcPr>
    </w:tblStylePr>
    <w:tblStylePr w:type="band1Horz">
      <w:tblPr/>
      <w:tcPr>
        <w:tcBorders>
          <w:top w:val="single" w:sz="8" w:space="0" w:color="7AB51D" w:themeColor="accent5"/>
          <w:left w:val="single" w:sz="8" w:space="0" w:color="7AB51D" w:themeColor="accent5"/>
          <w:bottom w:val="single" w:sz="8" w:space="0" w:color="7AB51D" w:themeColor="accent5"/>
          <w:right w:val="single" w:sz="8" w:space="0" w:color="7AB51D" w:themeColor="accent5"/>
        </w:tcBorders>
      </w:tcPr>
    </w:tblStylePr>
  </w:style>
  <w:style w:type="table" w:styleId="LightList-Accent6">
    <w:name w:val="Light List Accent 6"/>
    <w:basedOn w:val="TableNormal"/>
    <w:uiPriority w:val="61"/>
    <w:rsid w:val="00EA383A"/>
    <w:pPr>
      <w:spacing w:after="0" w:line="240" w:lineRule="auto"/>
    </w:pPr>
    <w:tblPr>
      <w:tblStyleRowBandSize w:val="1"/>
      <w:tblStyleColBandSize w:val="1"/>
      <w:tblBorders>
        <w:top w:val="single" w:sz="8" w:space="0" w:color="B8B8B8" w:themeColor="accent6"/>
        <w:left w:val="single" w:sz="8" w:space="0" w:color="B8B8B8" w:themeColor="accent6"/>
        <w:bottom w:val="single" w:sz="8" w:space="0" w:color="B8B8B8" w:themeColor="accent6"/>
        <w:right w:val="single" w:sz="8" w:space="0" w:color="B8B8B8" w:themeColor="accent6"/>
      </w:tblBorders>
    </w:tblPr>
    <w:tblStylePr w:type="firstRow">
      <w:pPr>
        <w:spacing w:before="0" w:after="0" w:line="240" w:lineRule="auto"/>
      </w:pPr>
      <w:rPr>
        <w:b/>
        <w:bCs/>
        <w:color w:val="FFFFFF" w:themeColor="background1"/>
      </w:rPr>
      <w:tblPr/>
      <w:tcPr>
        <w:shd w:val="clear" w:color="auto" w:fill="B8B8B8" w:themeFill="accent6"/>
      </w:tcPr>
    </w:tblStylePr>
    <w:tblStylePr w:type="lastRow">
      <w:pPr>
        <w:spacing w:before="0" w:after="0" w:line="240" w:lineRule="auto"/>
      </w:pPr>
      <w:rPr>
        <w:b/>
        <w:bCs/>
      </w:rPr>
      <w:tblPr/>
      <w:tcPr>
        <w:tcBorders>
          <w:top w:val="double" w:sz="6" w:space="0" w:color="B8B8B8" w:themeColor="accent6"/>
          <w:left w:val="single" w:sz="8" w:space="0" w:color="B8B8B8" w:themeColor="accent6"/>
          <w:bottom w:val="single" w:sz="8" w:space="0" w:color="B8B8B8" w:themeColor="accent6"/>
          <w:right w:val="single" w:sz="8" w:space="0" w:color="B8B8B8" w:themeColor="accent6"/>
        </w:tcBorders>
      </w:tcPr>
    </w:tblStylePr>
    <w:tblStylePr w:type="firstCol">
      <w:rPr>
        <w:b/>
        <w:bCs/>
      </w:rPr>
    </w:tblStylePr>
    <w:tblStylePr w:type="lastCol">
      <w:rPr>
        <w:b/>
        <w:bCs/>
      </w:rPr>
    </w:tblStylePr>
    <w:tblStylePr w:type="band1Vert">
      <w:tblPr/>
      <w:tcPr>
        <w:tcBorders>
          <w:top w:val="single" w:sz="8" w:space="0" w:color="B8B8B8" w:themeColor="accent6"/>
          <w:left w:val="single" w:sz="8" w:space="0" w:color="B8B8B8" w:themeColor="accent6"/>
          <w:bottom w:val="single" w:sz="8" w:space="0" w:color="B8B8B8" w:themeColor="accent6"/>
          <w:right w:val="single" w:sz="8" w:space="0" w:color="B8B8B8" w:themeColor="accent6"/>
        </w:tcBorders>
      </w:tcPr>
    </w:tblStylePr>
    <w:tblStylePr w:type="band1Horz">
      <w:tblPr/>
      <w:tcPr>
        <w:tcBorders>
          <w:top w:val="single" w:sz="8" w:space="0" w:color="B8B8B8" w:themeColor="accent6"/>
          <w:left w:val="single" w:sz="8" w:space="0" w:color="B8B8B8" w:themeColor="accent6"/>
          <w:bottom w:val="single" w:sz="8" w:space="0" w:color="B8B8B8" w:themeColor="accent6"/>
          <w:right w:val="single" w:sz="8" w:space="0" w:color="B8B8B8" w:themeColor="accent6"/>
        </w:tcBorders>
      </w:tcPr>
    </w:tblStylePr>
  </w:style>
  <w:style w:type="paragraph" w:styleId="ListParagraph">
    <w:name w:val="List Paragraph"/>
    <w:aliases w:val="Bullet Normal"/>
    <w:basedOn w:val="Normal"/>
    <w:link w:val="ListParagraphChar"/>
    <w:uiPriority w:val="34"/>
    <w:qFormat/>
    <w:rsid w:val="0074258D"/>
    <w:pPr>
      <w:ind w:left="720"/>
      <w:contextualSpacing/>
    </w:pPr>
  </w:style>
  <w:style w:type="paragraph" w:styleId="Header">
    <w:name w:val="header"/>
    <w:basedOn w:val="Normal"/>
    <w:link w:val="HeaderChar"/>
    <w:uiPriority w:val="99"/>
    <w:unhideWhenUsed/>
    <w:rsid w:val="00EC09C8"/>
    <w:pPr>
      <w:tabs>
        <w:tab w:val="center" w:pos="4513"/>
        <w:tab w:val="right" w:pos="9026"/>
      </w:tabs>
      <w:spacing w:after="0"/>
    </w:pPr>
  </w:style>
  <w:style w:type="character" w:customStyle="1" w:styleId="HeaderChar">
    <w:name w:val="Header Char"/>
    <w:basedOn w:val="DefaultParagraphFont"/>
    <w:link w:val="Header"/>
    <w:uiPriority w:val="99"/>
    <w:rsid w:val="00EC09C8"/>
    <w:rPr>
      <w:rFonts w:asciiTheme="minorHAnsi" w:hAnsiTheme="minorHAnsi"/>
    </w:rPr>
  </w:style>
  <w:style w:type="paragraph" w:styleId="Footer">
    <w:name w:val="footer"/>
    <w:basedOn w:val="Normal"/>
    <w:link w:val="FooterChar"/>
    <w:uiPriority w:val="99"/>
    <w:unhideWhenUsed/>
    <w:rsid w:val="00EC09C8"/>
    <w:pPr>
      <w:tabs>
        <w:tab w:val="center" w:pos="4513"/>
        <w:tab w:val="right" w:pos="9026"/>
      </w:tabs>
      <w:spacing w:after="0"/>
    </w:pPr>
  </w:style>
  <w:style w:type="character" w:customStyle="1" w:styleId="FooterChar">
    <w:name w:val="Footer Char"/>
    <w:basedOn w:val="DefaultParagraphFont"/>
    <w:link w:val="Footer"/>
    <w:uiPriority w:val="99"/>
    <w:rsid w:val="00EC09C8"/>
    <w:rPr>
      <w:rFonts w:asciiTheme="minorHAnsi" w:hAnsiTheme="minorHAnsi"/>
    </w:rPr>
  </w:style>
  <w:style w:type="paragraph" w:styleId="BalloonText">
    <w:name w:val="Balloon Text"/>
    <w:basedOn w:val="Normal"/>
    <w:link w:val="BalloonTextChar"/>
    <w:uiPriority w:val="99"/>
    <w:semiHidden/>
    <w:unhideWhenUsed/>
    <w:rsid w:val="00EC09C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09C8"/>
    <w:rPr>
      <w:rFonts w:ascii="Tahoma" w:hAnsi="Tahoma" w:cs="Tahoma"/>
      <w:sz w:val="16"/>
      <w:szCs w:val="16"/>
    </w:rPr>
  </w:style>
  <w:style w:type="paragraph" w:styleId="NoSpacing">
    <w:name w:val="No Spacing"/>
    <w:basedOn w:val="Normal"/>
    <w:uiPriority w:val="1"/>
    <w:qFormat/>
    <w:rsid w:val="00980FDD"/>
    <w:pPr>
      <w:spacing w:after="0"/>
    </w:pPr>
  </w:style>
  <w:style w:type="paragraph" w:customStyle="1" w:styleId="TableText">
    <w:name w:val="TableText"/>
    <w:basedOn w:val="Normal"/>
    <w:uiPriority w:val="2"/>
    <w:qFormat/>
    <w:rsid w:val="00AA2442"/>
    <w:pPr>
      <w:spacing w:before="20" w:after="20"/>
    </w:pPr>
  </w:style>
  <w:style w:type="character" w:styleId="PlaceholderText">
    <w:name w:val="Placeholder Text"/>
    <w:basedOn w:val="DefaultParagraphFont"/>
    <w:uiPriority w:val="99"/>
    <w:semiHidden/>
    <w:rsid w:val="00585218"/>
    <w:rPr>
      <w:color w:val="808080"/>
    </w:rPr>
  </w:style>
  <w:style w:type="paragraph" w:styleId="ListBullet4">
    <w:name w:val="List Bullet 4"/>
    <w:basedOn w:val="Normal"/>
    <w:uiPriority w:val="99"/>
    <w:semiHidden/>
    <w:unhideWhenUsed/>
    <w:rsid w:val="00585218"/>
    <w:pPr>
      <w:numPr>
        <w:ilvl w:val="3"/>
        <w:numId w:val="1"/>
      </w:numPr>
      <w:contextualSpacing/>
    </w:pPr>
  </w:style>
  <w:style w:type="paragraph" w:styleId="ListBullet5">
    <w:name w:val="List Bullet 5"/>
    <w:basedOn w:val="Normal"/>
    <w:uiPriority w:val="99"/>
    <w:semiHidden/>
    <w:unhideWhenUsed/>
    <w:rsid w:val="00585218"/>
    <w:pPr>
      <w:numPr>
        <w:ilvl w:val="4"/>
        <w:numId w:val="1"/>
      </w:numPr>
      <w:contextualSpacing/>
    </w:pPr>
  </w:style>
  <w:style w:type="numbering" w:customStyle="1" w:styleId="NRABullets">
    <w:name w:val="NRA Bullets"/>
    <w:uiPriority w:val="99"/>
    <w:rsid w:val="00BC5D30"/>
    <w:pPr>
      <w:numPr>
        <w:numId w:val="2"/>
      </w:numPr>
    </w:pPr>
  </w:style>
  <w:style w:type="paragraph" w:styleId="ListBullet">
    <w:name w:val="List Bullet"/>
    <w:basedOn w:val="Normal"/>
    <w:uiPriority w:val="99"/>
    <w:unhideWhenUsed/>
    <w:rsid w:val="009A3781"/>
    <w:pPr>
      <w:numPr>
        <w:numId w:val="3"/>
      </w:numPr>
      <w:contextualSpacing/>
    </w:pPr>
  </w:style>
  <w:style w:type="character" w:styleId="CommentReference">
    <w:name w:val="annotation reference"/>
    <w:basedOn w:val="DefaultParagraphFont"/>
    <w:uiPriority w:val="99"/>
    <w:unhideWhenUsed/>
    <w:rsid w:val="006008E8"/>
    <w:rPr>
      <w:sz w:val="16"/>
      <w:szCs w:val="16"/>
    </w:rPr>
  </w:style>
  <w:style w:type="paragraph" w:styleId="CommentText">
    <w:name w:val="annotation text"/>
    <w:basedOn w:val="Normal"/>
    <w:link w:val="CommentTextChar"/>
    <w:uiPriority w:val="99"/>
    <w:unhideWhenUsed/>
    <w:rsid w:val="006008E8"/>
  </w:style>
  <w:style w:type="character" w:customStyle="1" w:styleId="CommentTextChar">
    <w:name w:val="Comment Text Char"/>
    <w:basedOn w:val="DefaultParagraphFont"/>
    <w:link w:val="CommentText"/>
    <w:uiPriority w:val="99"/>
    <w:rsid w:val="006008E8"/>
    <w:rPr>
      <w:rFonts w:asciiTheme="minorHAnsi" w:hAnsiTheme="minorHAnsi"/>
    </w:rPr>
  </w:style>
  <w:style w:type="paragraph" w:styleId="CommentSubject">
    <w:name w:val="annotation subject"/>
    <w:basedOn w:val="CommentText"/>
    <w:next w:val="CommentText"/>
    <w:link w:val="CommentSubjectChar"/>
    <w:uiPriority w:val="99"/>
    <w:semiHidden/>
    <w:unhideWhenUsed/>
    <w:rsid w:val="006008E8"/>
    <w:rPr>
      <w:b/>
      <w:bCs/>
    </w:rPr>
  </w:style>
  <w:style w:type="character" w:customStyle="1" w:styleId="CommentSubjectChar">
    <w:name w:val="Comment Subject Char"/>
    <w:basedOn w:val="CommentTextChar"/>
    <w:link w:val="CommentSubject"/>
    <w:uiPriority w:val="99"/>
    <w:semiHidden/>
    <w:rsid w:val="006008E8"/>
    <w:rPr>
      <w:rFonts w:asciiTheme="minorHAnsi" w:hAnsiTheme="minorHAnsi"/>
      <w:b/>
      <w:bCs/>
    </w:rPr>
  </w:style>
  <w:style w:type="paragraph" w:customStyle="1" w:styleId="Default">
    <w:name w:val="Default"/>
    <w:rsid w:val="00FA2CE6"/>
    <w:pPr>
      <w:autoSpaceDE w:val="0"/>
      <w:autoSpaceDN w:val="0"/>
      <w:adjustRightInd w:val="0"/>
      <w:spacing w:after="0" w:line="240" w:lineRule="auto"/>
    </w:pPr>
    <w:rPr>
      <w:color w:val="000000"/>
      <w:sz w:val="24"/>
      <w:szCs w:val="24"/>
    </w:rPr>
  </w:style>
  <w:style w:type="table" w:styleId="MediumShading1-Accent1">
    <w:name w:val="Medium Shading 1 Accent 1"/>
    <w:basedOn w:val="TableNormal"/>
    <w:uiPriority w:val="63"/>
    <w:rsid w:val="00342CC4"/>
    <w:pPr>
      <w:spacing w:after="0" w:line="240" w:lineRule="auto"/>
    </w:pPr>
    <w:tblPr>
      <w:tblStyleRowBandSize w:val="1"/>
      <w:tblStyleColBandSize w:val="1"/>
      <w:tblBorders>
        <w:top w:val="single" w:sz="8" w:space="0" w:color="A1D5F3" w:themeColor="accent1" w:themeTint="BF"/>
        <w:left w:val="single" w:sz="8" w:space="0" w:color="A1D5F3" w:themeColor="accent1" w:themeTint="BF"/>
        <w:bottom w:val="single" w:sz="8" w:space="0" w:color="A1D5F3" w:themeColor="accent1" w:themeTint="BF"/>
        <w:right w:val="single" w:sz="8" w:space="0" w:color="A1D5F3" w:themeColor="accent1" w:themeTint="BF"/>
        <w:insideH w:val="single" w:sz="8" w:space="0" w:color="A1D5F3" w:themeColor="accent1" w:themeTint="BF"/>
      </w:tblBorders>
    </w:tblPr>
    <w:tblStylePr w:type="firstRow">
      <w:pPr>
        <w:spacing w:before="0" w:after="0" w:line="240" w:lineRule="auto"/>
      </w:pPr>
      <w:rPr>
        <w:b/>
        <w:bCs/>
        <w:color w:val="FFFFFF" w:themeColor="background1"/>
      </w:rPr>
      <w:tblPr/>
      <w:tcPr>
        <w:tcBorders>
          <w:top w:val="single" w:sz="8" w:space="0" w:color="A1D5F3" w:themeColor="accent1" w:themeTint="BF"/>
          <w:left w:val="single" w:sz="8" w:space="0" w:color="A1D5F3" w:themeColor="accent1" w:themeTint="BF"/>
          <w:bottom w:val="single" w:sz="8" w:space="0" w:color="A1D5F3" w:themeColor="accent1" w:themeTint="BF"/>
          <w:right w:val="single" w:sz="8" w:space="0" w:color="A1D5F3" w:themeColor="accent1" w:themeTint="BF"/>
          <w:insideH w:val="nil"/>
          <w:insideV w:val="nil"/>
        </w:tcBorders>
        <w:shd w:val="clear" w:color="auto" w:fill="82C8F0" w:themeFill="accent1"/>
      </w:tcPr>
    </w:tblStylePr>
    <w:tblStylePr w:type="lastRow">
      <w:pPr>
        <w:spacing w:before="0" w:after="0" w:line="240" w:lineRule="auto"/>
      </w:pPr>
      <w:rPr>
        <w:b/>
        <w:bCs/>
      </w:rPr>
      <w:tblPr/>
      <w:tcPr>
        <w:tcBorders>
          <w:top w:val="double" w:sz="6" w:space="0" w:color="A1D5F3" w:themeColor="accent1" w:themeTint="BF"/>
          <w:left w:val="single" w:sz="8" w:space="0" w:color="A1D5F3" w:themeColor="accent1" w:themeTint="BF"/>
          <w:bottom w:val="single" w:sz="8" w:space="0" w:color="A1D5F3" w:themeColor="accent1" w:themeTint="BF"/>
          <w:right w:val="single" w:sz="8" w:space="0" w:color="A1D5F3" w:themeColor="accent1" w:themeTint="BF"/>
          <w:insideH w:val="nil"/>
          <w:insideV w:val="nil"/>
        </w:tcBorders>
      </w:tcPr>
    </w:tblStylePr>
    <w:tblStylePr w:type="firstCol">
      <w:rPr>
        <w:b/>
        <w:bCs/>
      </w:rPr>
    </w:tblStylePr>
    <w:tblStylePr w:type="lastCol">
      <w:rPr>
        <w:b/>
        <w:bCs/>
      </w:rPr>
    </w:tblStylePr>
    <w:tblStylePr w:type="band1Vert">
      <w:tblPr/>
      <w:tcPr>
        <w:shd w:val="clear" w:color="auto" w:fill="E0F1FB" w:themeFill="accent1" w:themeFillTint="3F"/>
      </w:tcPr>
    </w:tblStylePr>
    <w:tblStylePr w:type="band1Horz">
      <w:tblPr/>
      <w:tcPr>
        <w:tcBorders>
          <w:insideH w:val="nil"/>
          <w:insideV w:val="nil"/>
        </w:tcBorders>
        <w:shd w:val="clear" w:color="auto" w:fill="E0F1FB" w:themeFill="accent1" w:themeFillTint="3F"/>
      </w:tcPr>
    </w:tblStylePr>
    <w:tblStylePr w:type="band2Horz">
      <w:tblPr/>
      <w:tcPr>
        <w:tcBorders>
          <w:insideH w:val="nil"/>
          <w:insideV w:val="nil"/>
        </w:tcBorders>
      </w:tcPr>
    </w:tblStylePr>
  </w:style>
  <w:style w:type="table" w:styleId="LightGrid-Accent1">
    <w:name w:val="Light Grid Accent 1"/>
    <w:basedOn w:val="TableNormal"/>
    <w:uiPriority w:val="62"/>
    <w:rsid w:val="00342CC4"/>
    <w:pPr>
      <w:spacing w:after="0" w:line="240" w:lineRule="auto"/>
    </w:pPr>
    <w:tblPr>
      <w:tblStyleRowBandSize w:val="1"/>
      <w:tblStyleColBandSize w:val="1"/>
      <w:tblBorders>
        <w:top w:val="single" w:sz="8" w:space="0" w:color="82C8F0" w:themeColor="accent1"/>
        <w:left w:val="single" w:sz="8" w:space="0" w:color="82C8F0" w:themeColor="accent1"/>
        <w:bottom w:val="single" w:sz="8" w:space="0" w:color="82C8F0" w:themeColor="accent1"/>
        <w:right w:val="single" w:sz="8" w:space="0" w:color="82C8F0" w:themeColor="accent1"/>
        <w:insideH w:val="single" w:sz="8" w:space="0" w:color="82C8F0" w:themeColor="accent1"/>
        <w:insideV w:val="single" w:sz="8" w:space="0" w:color="82C8F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2C8F0" w:themeColor="accent1"/>
          <w:left w:val="single" w:sz="8" w:space="0" w:color="82C8F0" w:themeColor="accent1"/>
          <w:bottom w:val="single" w:sz="18" w:space="0" w:color="82C8F0" w:themeColor="accent1"/>
          <w:right w:val="single" w:sz="8" w:space="0" w:color="82C8F0" w:themeColor="accent1"/>
          <w:insideH w:val="nil"/>
          <w:insideV w:val="single" w:sz="8" w:space="0" w:color="82C8F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2C8F0" w:themeColor="accent1"/>
          <w:left w:val="single" w:sz="8" w:space="0" w:color="82C8F0" w:themeColor="accent1"/>
          <w:bottom w:val="single" w:sz="8" w:space="0" w:color="82C8F0" w:themeColor="accent1"/>
          <w:right w:val="single" w:sz="8" w:space="0" w:color="82C8F0" w:themeColor="accent1"/>
          <w:insideH w:val="nil"/>
          <w:insideV w:val="single" w:sz="8" w:space="0" w:color="82C8F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2C8F0" w:themeColor="accent1"/>
          <w:left w:val="single" w:sz="8" w:space="0" w:color="82C8F0" w:themeColor="accent1"/>
          <w:bottom w:val="single" w:sz="8" w:space="0" w:color="82C8F0" w:themeColor="accent1"/>
          <w:right w:val="single" w:sz="8" w:space="0" w:color="82C8F0" w:themeColor="accent1"/>
        </w:tcBorders>
      </w:tcPr>
    </w:tblStylePr>
    <w:tblStylePr w:type="band1Vert">
      <w:tblPr/>
      <w:tcPr>
        <w:tcBorders>
          <w:top w:val="single" w:sz="8" w:space="0" w:color="82C8F0" w:themeColor="accent1"/>
          <w:left w:val="single" w:sz="8" w:space="0" w:color="82C8F0" w:themeColor="accent1"/>
          <w:bottom w:val="single" w:sz="8" w:space="0" w:color="82C8F0" w:themeColor="accent1"/>
          <w:right w:val="single" w:sz="8" w:space="0" w:color="82C8F0" w:themeColor="accent1"/>
        </w:tcBorders>
        <w:shd w:val="clear" w:color="auto" w:fill="E0F1FB" w:themeFill="accent1" w:themeFillTint="3F"/>
      </w:tcPr>
    </w:tblStylePr>
    <w:tblStylePr w:type="band1Horz">
      <w:tblPr/>
      <w:tcPr>
        <w:tcBorders>
          <w:top w:val="single" w:sz="8" w:space="0" w:color="82C8F0" w:themeColor="accent1"/>
          <w:left w:val="single" w:sz="8" w:space="0" w:color="82C8F0" w:themeColor="accent1"/>
          <w:bottom w:val="single" w:sz="8" w:space="0" w:color="82C8F0" w:themeColor="accent1"/>
          <w:right w:val="single" w:sz="8" w:space="0" w:color="82C8F0" w:themeColor="accent1"/>
          <w:insideV w:val="single" w:sz="8" w:space="0" w:color="82C8F0" w:themeColor="accent1"/>
        </w:tcBorders>
        <w:shd w:val="clear" w:color="auto" w:fill="E0F1FB" w:themeFill="accent1" w:themeFillTint="3F"/>
      </w:tcPr>
    </w:tblStylePr>
    <w:tblStylePr w:type="band2Horz">
      <w:tblPr/>
      <w:tcPr>
        <w:tcBorders>
          <w:top w:val="single" w:sz="8" w:space="0" w:color="82C8F0" w:themeColor="accent1"/>
          <w:left w:val="single" w:sz="8" w:space="0" w:color="82C8F0" w:themeColor="accent1"/>
          <w:bottom w:val="single" w:sz="8" w:space="0" w:color="82C8F0" w:themeColor="accent1"/>
          <w:right w:val="single" w:sz="8" w:space="0" w:color="82C8F0" w:themeColor="accent1"/>
          <w:insideV w:val="single" w:sz="8" w:space="0" w:color="82C8F0" w:themeColor="accent1"/>
        </w:tcBorders>
      </w:tcPr>
    </w:tblStylePr>
  </w:style>
  <w:style w:type="paragraph" w:styleId="TOCHeading">
    <w:name w:val="TOC Heading"/>
    <w:basedOn w:val="Heading1"/>
    <w:next w:val="Normal"/>
    <w:uiPriority w:val="39"/>
    <w:unhideWhenUsed/>
    <w:qFormat/>
    <w:rsid w:val="000F393A"/>
    <w:pPr>
      <w:keepNext/>
      <w:keepLines/>
      <w:spacing w:before="240" w:after="0" w:line="259" w:lineRule="auto"/>
      <w:outlineLvl w:val="9"/>
    </w:pPr>
    <w:rPr>
      <w:rFonts w:eastAsiaTheme="majorEastAsia" w:cstheme="majorBidi"/>
      <w:b w:val="0"/>
      <w:color w:val="2EA3E6" w:themeColor="accent1" w:themeShade="BF"/>
      <w:sz w:val="32"/>
      <w:szCs w:val="32"/>
      <w:lang w:val="en-US"/>
    </w:rPr>
  </w:style>
  <w:style w:type="paragraph" w:styleId="TOC1">
    <w:name w:val="toc 1"/>
    <w:basedOn w:val="Normal"/>
    <w:next w:val="Normal"/>
    <w:autoRedefine/>
    <w:uiPriority w:val="39"/>
    <w:unhideWhenUsed/>
    <w:rsid w:val="000F393A"/>
  </w:style>
  <w:style w:type="paragraph" w:styleId="TOC2">
    <w:name w:val="toc 2"/>
    <w:basedOn w:val="Normal"/>
    <w:next w:val="Normal"/>
    <w:autoRedefine/>
    <w:uiPriority w:val="39"/>
    <w:unhideWhenUsed/>
    <w:rsid w:val="000F393A"/>
    <w:pPr>
      <w:ind w:left="200"/>
    </w:pPr>
  </w:style>
  <w:style w:type="character" w:styleId="Hyperlink">
    <w:name w:val="Hyperlink"/>
    <w:basedOn w:val="DefaultParagraphFont"/>
    <w:uiPriority w:val="99"/>
    <w:unhideWhenUsed/>
    <w:rsid w:val="000F393A"/>
    <w:rPr>
      <w:color w:val="05648C" w:themeColor="hyperlink"/>
      <w:u w:val="single"/>
    </w:rPr>
  </w:style>
  <w:style w:type="paragraph" w:styleId="BodyText">
    <w:name w:val="Body Text"/>
    <w:basedOn w:val="Normal"/>
    <w:link w:val="BodyTextChar"/>
    <w:uiPriority w:val="1"/>
    <w:qFormat/>
    <w:rsid w:val="00CD5039"/>
    <w:pPr>
      <w:widowControl w:val="0"/>
      <w:autoSpaceDE w:val="0"/>
      <w:autoSpaceDN w:val="0"/>
      <w:spacing w:after="0"/>
    </w:pPr>
    <w:rPr>
      <w:rFonts w:ascii="Arial" w:eastAsia="Arial" w:hAnsi="Arial"/>
    </w:rPr>
  </w:style>
  <w:style w:type="character" w:customStyle="1" w:styleId="BodyTextChar">
    <w:name w:val="Body Text Char"/>
    <w:basedOn w:val="DefaultParagraphFont"/>
    <w:link w:val="BodyText"/>
    <w:uiPriority w:val="1"/>
    <w:rsid w:val="00CD5039"/>
    <w:rPr>
      <w:rFonts w:eastAsia="Arial"/>
    </w:rPr>
  </w:style>
  <w:style w:type="paragraph" w:styleId="NormalWeb">
    <w:name w:val="Normal (Web)"/>
    <w:basedOn w:val="Normal"/>
    <w:uiPriority w:val="99"/>
    <w:semiHidden/>
    <w:unhideWhenUsed/>
    <w:rsid w:val="00107F5C"/>
    <w:pPr>
      <w:spacing w:before="100" w:beforeAutospacing="1" w:afterAutospacing="1"/>
    </w:pPr>
    <w:rPr>
      <w:rFonts w:ascii="Times New Roman" w:eastAsia="Times New Roman" w:hAnsi="Times New Roman" w:cs="Times New Roman"/>
      <w:sz w:val="24"/>
      <w:szCs w:val="24"/>
      <w:lang w:eastAsia="en-NZ"/>
    </w:rPr>
  </w:style>
  <w:style w:type="character" w:styleId="FollowedHyperlink">
    <w:name w:val="FollowedHyperlink"/>
    <w:basedOn w:val="DefaultParagraphFont"/>
    <w:uiPriority w:val="99"/>
    <w:semiHidden/>
    <w:unhideWhenUsed/>
    <w:rsid w:val="00FC75CC"/>
    <w:rPr>
      <w:color w:val="969696" w:themeColor="followedHyperlink"/>
      <w:u w:val="single"/>
    </w:rPr>
  </w:style>
  <w:style w:type="character" w:customStyle="1" w:styleId="ListParagraphChar">
    <w:name w:val="List Paragraph Char"/>
    <w:aliases w:val="Bullet Normal Char"/>
    <w:basedOn w:val="DefaultParagraphFont"/>
    <w:link w:val="ListParagraph"/>
    <w:uiPriority w:val="34"/>
    <w:locked/>
    <w:rsid w:val="00F61008"/>
    <w:rPr>
      <w:rFonts w:asciiTheme="minorHAnsi" w:hAnsiTheme="minorHAnsi"/>
    </w:rPr>
  </w:style>
  <w:style w:type="paragraph" w:styleId="Revision">
    <w:name w:val="Revision"/>
    <w:hidden/>
    <w:uiPriority w:val="99"/>
    <w:semiHidden/>
    <w:rsid w:val="00042436"/>
    <w:pPr>
      <w:spacing w:after="0" w:line="240" w:lineRule="auto"/>
    </w:pPr>
    <w:rPr>
      <w:rFonts w:asciiTheme="minorHAnsi" w:hAnsiTheme="minorHAnsi"/>
    </w:rPr>
  </w:style>
  <w:style w:type="paragraph" w:customStyle="1" w:styleId="xmsonormal">
    <w:name w:val="x_msonormal"/>
    <w:basedOn w:val="Normal"/>
    <w:rsid w:val="00447593"/>
    <w:pPr>
      <w:spacing w:after="0"/>
    </w:pPr>
    <w:rPr>
      <w:rFonts w:ascii="Times New Roman" w:hAnsi="Times New Roman" w:cs="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04794">
      <w:bodyDiv w:val="1"/>
      <w:marLeft w:val="0"/>
      <w:marRight w:val="0"/>
      <w:marTop w:val="0"/>
      <w:marBottom w:val="0"/>
      <w:divBdr>
        <w:top w:val="none" w:sz="0" w:space="0" w:color="auto"/>
        <w:left w:val="none" w:sz="0" w:space="0" w:color="auto"/>
        <w:bottom w:val="none" w:sz="0" w:space="0" w:color="auto"/>
        <w:right w:val="none" w:sz="0" w:space="0" w:color="auto"/>
      </w:divBdr>
    </w:div>
    <w:div w:id="311524510">
      <w:bodyDiv w:val="1"/>
      <w:marLeft w:val="0"/>
      <w:marRight w:val="0"/>
      <w:marTop w:val="0"/>
      <w:marBottom w:val="0"/>
      <w:divBdr>
        <w:top w:val="none" w:sz="0" w:space="0" w:color="auto"/>
        <w:left w:val="none" w:sz="0" w:space="0" w:color="auto"/>
        <w:bottom w:val="none" w:sz="0" w:space="0" w:color="auto"/>
        <w:right w:val="none" w:sz="0" w:space="0" w:color="auto"/>
      </w:divBdr>
    </w:div>
    <w:div w:id="492838126">
      <w:bodyDiv w:val="1"/>
      <w:marLeft w:val="0"/>
      <w:marRight w:val="0"/>
      <w:marTop w:val="0"/>
      <w:marBottom w:val="0"/>
      <w:divBdr>
        <w:top w:val="none" w:sz="0" w:space="0" w:color="auto"/>
        <w:left w:val="none" w:sz="0" w:space="0" w:color="auto"/>
        <w:bottom w:val="none" w:sz="0" w:space="0" w:color="auto"/>
        <w:right w:val="none" w:sz="0" w:space="0" w:color="auto"/>
      </w:divBdr>
    </w:div>
    <w:div w:id="504365489">
      <w:bodyDiv w:val="1"/>
      <w:marLeft w:val="0"/>
      <w:marRight w:val="0"/>
      <w:marTop w:val="0"/>
      <w:marBottom w:val="0"/>
      <w:divBdr>
        <w:top w:val="none" w:sz="0" w:space="0" w:color="auto"/>
        <w:left w:val="none" w:sz="0" w:space="0" w:color="auto"/>
        <w:bottom w:val="none" w:sz="0" w:space="0" w:color="auto"/>
        <w:right w:val="none" w:sz="0" w:space="0" w:color="auto"/>
      </w:divBdr>
    </w:div>
    <w:div w:id="769860259">
      <w:bodyDiv w:val="1"/>
      <w:marLeft w:val="0"/>
      <w:marRight w:val="0"/>
      <w:marTop w:val="0"/>
      <w:marBottom w:val="0"/>
      <w:divBdr>
        <w:top w:val="none" w:sz="0" w:space="0" w:color="auto"/>
        <w:left w:val="none" w:sz="0" w:space="0" w:color="auto"/>
        <w:bottom w:val="none" w:sz="0" w:space="0" w:color="auto"/>
        <w:right w:val="none" w:sz="0" w:space="0" w:color="auto"/>
      </w:divBdr>
    </w:div>
    <w:div w:id="862204097">
      <w:bodyDiv w:val="1"/>
      <w:marLeft w:val="0"/>
      <w:marRight w:val="0"/>
      <w:marTop w:val="0"/>
      <w:marBottom w:val="0"/>
      <w:divBdr>
        <w:top w:val="none" w:sz="0" w:space="0" w:color="auto"/>
        <w:left w:val="none" w:sz="0" w:space="0" w:color="auto"/>
        <w:bottom w:val="none" w:sz="0" w:space="0" w:color="auto"/>
        <w:right w:val="none" w:sz="0" w:space="0" w:color="auto"/>
      </w:divBdr>
    </w:div>
    <w:div w:id="1037698292">
      <w:bodyDiv w:val="1"/>
      <w:marLeft w:val="0"/>
      <w:marRight w:val="0"/>
      <w:marTop w:val="0"/>
      <w:marBottom w:val="0"/>
      <w:divBdr>
        <w:top w:val="none" w:sz="0" w:space="0" w:color="auto"/>
        <w:left w:val="none" w:sz="0" w:space="0" w:color="auto"/>
        <w:bottom w:val="none" w:sz="0" w:space="0" w:color="auto"/>
        <w:right w:val="none" w:sz="0" w:space="0" w:color="auto"/>
      </w:divBdr>
    </w:div>
    <w:div w:id="1194997709">
      <w:bodyDiv w:val="1"/>
      <w:marLeft w:val="0"/>
      <w:marRight w:val="0"/>
      <w:marTop w:val="0"/>
      <w:marBottom w:val="0"/>
      <w:divBdr>
        <w:top w:val="none" w:sz="0" w:space="0" w:color="auto"/>
        <w:left w:val="none" w:sz="0" w:space="0" w:color="auto"/>
        <w:bottom w:val="none" w:sz="0" w:space="0" w:color="auto"/>
        <w:right w:val="none" w:sz="0" w:space="0" w:color="auto"/>
      </w:divBdr>
    </w:div>
    <w:div w:id="1215198139">
      <w:bodyDiv w:val="1"/>
      <w:marLeft w:val="0"/>
      <w:marRight w:val="0"/>
      <w:marTop w:val="0"/>
      <w:marBottom w:val="0"/>
      <w:divBdr>
        <w:top w:val="none" w:sz="0" w:space="0" w:color="auto"/>
        <w:left w:val="none" w:sz="0" w:space="0" w:color="auto"/>
        <w:bottom w:val="none" w:sz="0" w:space="0" w:color="auto"/>
        <w:right w:val="none" w:sz="0" w:space="0" w:color="auto"/>
      </w:divBdr>
    </w:div>
    <w:div w:id="1334868962">
      <w:bodyDiv w:val="1"/>
      <w:marLeft w:val="0"/>
      <w:marRight w:val="0"/>
      <w:marTop w:val="0"/>
      <w:marBottom w:val="0"/>
      <w:divBdr>
        <w:top w:val="none" w:sz="0" w:space="0" w:color="auto"/>
        <w:left w:val="none" w:sz="0" w:space="0" w:color="auto"/>
        <w:bottom w:val="none" w:sz="0" w:space="0" w:color="auto"/>
        <w:right w:val="none" w:sz="0" w:space="0" w:color="auto"/>
      </w:divBdr>
    </w:div>
    <w:div w:id="1373455825">
      <w:bodyDiv w:val="1"/>
      <w:marLeft w:val="0"/>
      <w:marRight w:val="0"/>
      <w:marTop w:val="0"/>
      <w:marBottom w:val="0"/>
      <w:divBdr>
        <w:top w:val="none" w:sz="0" w:space="0" w:color="auto"/>
        <w:left w:val="none" w:sz="0" w:space="0" w:color="auto"/>
        <w:bottom w:val="none" w:sz="0" w:space="0" w:color="auto"/>
        <w:right w:val="none" w:sz="0" w:space="0" w:color="auto"/>
      </w:divBdr>
    </w:div>
    <w:div w:id="1574774095">
      <w:bodyDiv w:val="1"/>
      <w:marLeft w:val="0"/>
      <w:marRight w:val="0"/>
      <w:marTop w:val="0"/>
      <w:marBottom w:val="0"/>
      <w:divBdr>
        <w:top w:val="none" w:sz="0" w:space="0" w:color="auto"/>
        <w:left w:val="none" w:sz="0" w:space="0" w:color="auto"/>
        <w:bottom w:val="none" w:sz="0" w:space="0" w:color="auto"/>
        <w:right w:val="none" w:sz="0" w:space="0" w:color="auto"/>
      </w:divBdr>
    </w:div>
    <w:div w:id="1757093734">
      <w:bodyDiv w:val="1"/>
      <w:marLeft w:val="0"/>
      <w:marRight w:val="0"/>
      <w:marTop w:val="0"/>
      <w:marBottom w:val="0"/>
      <w:divBdr>
        <w:top w:val="none" w:sz="0" w:space="0" w:color="auto"/>
        <w:left w:val="none" w:sz="0" w:space="0" w:color="auto"/>
        <w:bottom w:val="none" w:sz="0" w:space="0" w:color="auto"/>
        <w:right w:val="none" w:sz="0" w:space="0" w:color="auto"/>
      </w:divBdr>
    </w:div>
    <w:div w:id="2068676014">
      <w:bodyDiv w:val="1"/>
      <w:marLeft w:val="0"/>
      <w:marRight w:val="0"/>
      <w:marTop w:val="0"/>
      <w:marBottom w:val="0"/>
      <w:divBdr>
        <w:top w:val="none" w:sz="0" w:space="0" w:color="auto"/>
        <w:left w:val="none" w:sz="0" w:space="0" w:color="auto"/>
        <w:bottom w:val="none" w:sz="0" w:space="0" w:color="auto"/>
        <w:right w:val="none" w:sz="0" w:space="0" w:color="auto"/>
      </w:divBdr>
    </w:div>
    <w:div w:id="210464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edicalprotection.org/newzealand/help-advice/counselling-servic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anzcp.org/membership/wellbeing-support-for-members/top-5-self-care-tips-for-psychiatri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navigator.org.nz/" TargetMode="External"/></Relationships>
</file>

<file path=word/theme/theme1.xml><?xml version="1.0" encoding="utf-8"?>
<a:theme xmlns:a="http://schemas.openxmlformats.org/drawingml/2006/main" name="NRA Theme">
  <a:themeElements>
    <a:clrScheme name="NRA Colours">
      <a:dk1>
        <a:sysClr val="windowText" lastClr="000000"/>
      </a:dk1>
      <a:lt1>
        <a:sysClr val="window" lastClr="FFFFFF"/>
      </a:lt1>
      <a:dk2>
        <a:srgbClr val="00A0DC"/>
      </a:dk2>
      <a:lt2>
        <a:srgbClr val="FFFFFF"/>
      </a:lt2>
      <a:accent1>
        <a:srgbClr val="82C8F0"/>
      </a:accent1>
      <a:accent2>
        <a:srgbClr val="00A0DC"/>
      </a:accent2>
      <a:accent3>
        <a:srgbClr val="0582B4"/>
      </a:accent3>
      <a:accent4>
        <a:srgbClr val="05648C"/>
      </a:accent4>
      <a:accent5>
        <a:srgbClr val="7AB51D"/>
      </a:accent5>
      <a:accent6>
        <a:srgbClr val="B8B8B8"/>
      </a:accent6>
      <a:hlink>
        <a:srgbClr val="05648C"/>
      </a:hlink>
      <a:folHlink>
        <a:srgbClr val="969696"/>
      </a:folHlink>
    </a:clrScheme>
    <a:fontScheme name="NRA Fon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5156B36AA78FB4E912D8A9DF95101DD" ma:contentTypeVersion="7" ma:contentTypeDescription="Create a new document." ma:contentTypeScope="" ma:versionID="ca8ff46aa5024f4d3a0bba176061cce4">
  <xsd:schema xmlns:xsd="http://www.w3.org/2001/XMLSchema" xmlns:xs="http://www.w3.org/2001/XMLSchema" xmlns:p="http://schemas.microsoft.com/office/2006/metadata/properties" xmlns:ns2="ac3f991f-0b4e-44eb-93d6-64378cf669ec" xmlns:ns3="bc5acb63-efd9-46f0-b03e-cceff1e89b1e" targetNamespace="http://schemas.microsoft.com/office/2006/metadata/properties" ma:root="true" ma:fieldsID="d03f168f3ac4526b87f9ef7dbce8bb02" ns2:_="" ns3:_="">
    <xsd:import namespace="ac3f991f-0b4e-44eb-93d6-64378cf669ec"/>
    <xsd:import namespace="bc5acb63-efd9-46f0-b03e-cceff1e89b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3f991f-0b4e-44eb-93d6-64378cf66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5acb63-efd9-46f0-b03e-cceff1e89b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9F0520-DE97-4D5A-91B6-DF9627BBE40A}">
  <ds:schemaRefs>
    <ds:schemaRef ds:uri="http://schemas.openxmlformats.org/officeDocument/2006/bibliography"/>
  </ds:schemaRefs>
</ds:datastoreItem>
</file>

<file path=customXml/itemProps2.xml><?xml version="1.0" encoding="utf-8"?>
<ds:datastoreItem xmlns:ds="http://schemas.openxmlformats.org/officeDocument/2006/customXml" ds:itemID="{9441DD86-AEE1-4666-B9AD-93FFD8833CEC}">
  <ds:schemaRefs>
    <ds:schemaRef ds:uri="http://schemas.microsoft.com/sharepoint/v3/contenttype/forms"/>
  </ds:schemaRefs>
</ds:datastoreItem>
</file>

<file path=customXml/itemProps3.xml><?xml version="1.0" encoding="utf-8"?>
<ds:datastoreItem xmlns:ds="http://schemas.openxmlformats.org/officeDocument/2006/customXml" ds:itemID="{E91A4DB9-13E9-4C5D-AA02-A8A0E8BD2D39}">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www.w3.org/XML/1998/namespace"/>
  </ds:schemaRefs>
</ds:datastoreItem>
</file>

<file path=customXml/itemProps4.xml><?xml version="1.0" encoding="utf-8"?>
<ds:datastoreItem xmlns:ds="http://schemas.openxmlformats.org/officeDocument/2006/customXml" ds:itemID="{9C8440EE-4C30-4892-AAB8-68436738C0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3f991f-0b4e-44eb-93d6-64378cf669ec"/>
    <ds:schemaRef ds:uri="bc5acb63-efd9-46f0-b03e-cceff1e89b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1605</Words>
  <Characters>9152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NRA</Company>
  <LinksUpToDate>false</LinksUpToDate>
  <CharactersWithSpaces>10736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 Wright (NoRTH)</dc:creator>
  <cp:lastModifiedBy>Heather Rawiri (NRA)</cp:lastModifiedBy>
  <cp:revision>2</cp:revision>
  <cp:lastPrinted>2022-07-09T00:32:00Z</cp:lastPrinted>
  <dcterms:created xsi:type="dcterms:W3CDTF">2024-07-30T06:06:00Z</dcterms:created>
  <dcterms:modified xsi:type="dcterms:W3CDTF">2024-07-30T06:06:00Z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
    <vt:i4>2010</vt:i4>
  </property>
  <property fmtid="{D5CDD505-2E9C-101B-9397-08002B2CF9AE}" pid="3" name="Version">
    <vt:r8>1</vt:r8>
  </property>
  <property fmtid="{D5CDD505-2E9C-101B-9397-08002B2CF9AE}" pid="4" name="ContentTypeId">
    <vt:lpwstr>0x01010055156B36AA78FB4E912D8A9DF95101DD</vt:lpwstr>
  </property>
</Properties>
</file>