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85D38" w14:textId="0FD400D3" w:rsidR="007F1739" w:rsidRPr="007F1739" w:rsidRDefault="007F1739" w:rsidP="007F1739">
      <w:pPr>
        <w:shd w:val="clear" w:color="auto" w:fill="FFFFFF"/>
        <w:spacing w:before="300" w:after="240" w:line="240" w:lineRule="auto"/>
        <w:outlineLvl w:val="0"/>
        <w:rPr>
          <w:rFonts w:ascii="Georgia" w:eastAsia="Times New Roman" w:hAnsi="Georgia" w:cs="Arial"/>
          <w:b/>
          <w:bCs/>
          <w:color w:val="002639"/>
          <w:kern w:val="36"/>
          <w:sz w:val="46"/>
          <w:szCs w:val="46"/>
          <w:lang w:eastAsia="en-NZ"/>
        </w:rPr>
      </w:pPr>
      <w:r w:rsidRPr="007F1739">
        <w:rPr>
          <w:rFonts w:ascii="Georgia" w:eastAsia="Times New Roman" w:hAnsi="Georgia" w:cs="Arial"/>
          <w:b/>
          <w:bCs/>
          <w:color w:val="002639"/>
          <w:kern w:val="36"/>
          <w:sz w:val="46"/>
          <w:szCs w:val="46"/>
          <w:lang w:eastAsia="en-NZ"/>
        </w:rPr>
        <w:t xml:space="preserve">School Based Health Services </w:t>
      </w:r>
      <w:r w:rsidR="00E62D91">
        <w:rPr>
          <w:rFonts w:ascii="Georgia" w:eastAsia="Times New Roman" w:hAnsi="Georgia" w:cs="Arial"/>
          <w:b/>
          <w:bCs/>
          <w:color w:val="002639"/>
          <w:kern w:val="36"/>
          <w:sz w:val="46"/>
          <w:szCs w:val="46"/>
          <w:lang w:eastAsia="en-NZ"/>
        </w:rPr>
        <w:t>e</w:t>
      </w:r>
      <w:r w:rsidRPr="007F1739">
        <w:rPr>
          <w:rFonts w:ascii="Georgia" w:eastAsia="Times New Roman" w:hAnsi="Georgia" w:cs="Arial"/>
          <w:b/>
          <w:bCs/>
          <w:color w:val="002639"/>
          <w:kern w:val="36"/>
          <w:sz w:val="46"/>
          <w:szCs w:val="46"/>
          <w:lang w:eastAsia="en-NZ"/>
        </w:rPr>
        <w:t>nhancements programme</w:t>
      </w:r>
    </w:p>
    <w:p w14:paraId="5FAD1C76" w14:textId="53304A43" w:rsidR="007F1739" w:rsidRPr="007F1739" w:rsidRDefault="007F1739" w:rsidP="007F1739">
      <w:pPr>
        <w:pBdr>
          <w:bottom w:val="single" w:sz="18" w:space="12" w:color="F99839"/>
        </w:pBdr>
        <w:shd w:val="clear" w:color="auto" w:fill="FFFFFF"/>
        <w:spacing w:after="270" w:line="320" w:lineRule="atLeast"/>
        <w:rPr>
          <w:rFonts w:ascii="Georgia" w:eastAsia="Times New Roman" w:hAnsi="Georgia" w:cs="Arial"/>
          <w:color w:val="002639"/>
          <w:sz w:val="28"/>
          <w:szCs w:val="28"/>
          <w:lang w:eastAsia="en-NZ"/>
        </w:rPr>
      </w:pPr>
      <w:r w:rsidRPr="007F1739">
        <w:rPr>
          <w:rFonts w:ascii="Georgia" w:eastAsia="Times New Roman" w:hAnsi="Georgia" w:cs="Arial"/>
          <w:color w:val="002639"/>
          <w:sz w:val="28"/>
          <w:szCs w:val="28"/>
          <w:lang w:eastAsia="en-NZ"/>
        </w:rPr>
        <w:t>Information and updates on the School Based Health Services enhancements programme.</w:t>
      </w:r>
    </w:p>
    <w:p w14:paraId="0F29C305"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On this page:</w:t>
      </w:r>
    </w:p>
    <w:p w14:paraId="502B5CB9" w14:textId="77777777" w:rsidR="007F1739" w:rsidRPr="007F1739" w:rsidRDefault="005F2E54" w:rsidP="007F1739">
      <w:pPr>
        <w:numPr>
          <w:ilvl w:val="0"/>
          <w:numId w:val="1"/>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hyperlink r:id="rId5" w:anchor="background" w:history="1">
        <w:r w:rsidR="007F1739" w:rsidRPr="007F1739">
          <w:rPr>
            <w:rFonts w:ascii="Arial" w:eastAsia="Times New Roman" w:hAnsi="Arial" w:cs="Arial"/>
            <w:color w:val="005D85"/>
            <w:sz w:val="20"/>
            <w:szCs w:val="20"/>
            <w:u w:val="single"/>
            <w:lang w:eastAsia="en-NZ"/>
          </w:rPr>
          <w:t>Background</w:t>
        </w:r>
      </w:hyperlink>
    </w:p>
    <w:p w14:paraId="2A91111B" w14:textId="7E9DBB3C" w:rsidR="007F1739" w:rsidRPr="007F1739" w:rsidRDefault="005B7248" w:rsidP="007F1739">
      <w:pPr>
        <w:numPr>
          <w:ilvl w:val="0"/>
          <w:numId w:val="1"/>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hyperlink r:id="rId6" w:anchor="keyth" w:history="1">
        <w:r w:rsidR="007F1739" w:rsidRPr="007F1739">
          <w:rPr>
            <w:rFonts w:ascii="Arial" w:eastAsia="Times New Roman" w:hAnsi="Arial" w:cs="Arial"/>
            <w:color w:val="005D85"/>
            <w:sz w:val="20"/>
            <w:szCs w:val="20"/>
            <w:u w:val="single"/>
            <w:lang w:eastAsia="en-NZ"/>
          </w:rPr>
          <w:t>Key themes for the success of the mahi</w:t>
        </w:r>
      </w:hyperlink>
    </w:p>
    <w:p w14:paraId="1A4A01DE" w14:textId="77777777" w:rsidR="007F1739" w:rsidRPr="007F1739" w:rsidRDefault="005F2E54" w:rsidP="007F1739">
      <w:pPr>
        <w:numPr>
          <w:ilvl w:val="0"/>
          <w:numId w:val="1"/>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hyperlink r:id="rId7" w:anchor="sixc" w:history="1">
        <w:r w:rsidR="007F1739" w:rsidRPr="007F1739">
          <w:rPr>
            <w:rFonts w:ascii="Arial" w:eastAsia="Times New Roman" w:hAnsi="Arial" w:cs="Arial"/>
            <w:color w:val="005D85"/>
            <w:sz w:val="20"/>
            <w:szCs w:val="20"/>
            <w:u w:val="single"/>
            <w:lang w:eastAsia="en-NZ"/>
          </w:rPr>
          <w:t>The six collaboration partners</w:t>
        </w:r>
      </w:hyperlink>
    </w:p>
    <w:p w14:paraId="243658F3" w14:textId="77777777" w:rsidR="007F1739" w:rsidRPr="007F1739" w:rsidRDefault="005F2E54" w:rsidP="007F1739">
      <w:pPr>
        <w:numPr>
          <w:ilvl w:val="0"/>
          <w:numId w:val="1"/>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hyperlink r:id="rId8" w:anchor="updates" w:history="1">
        <w:r w:rsidR="007F1739" w:rsidRPr="007F1739">
          <w:rPr>
            <w:rFonts w:ascii="Arial" w:eastAsia="Times New Roman" w:hAnsi="Arial" w:cs="Arial"/>
            <w:color w:val="005D85"/>
            <w:sz w:val="20"/>
            <w:szCs w:val="20"/>
            <w:u w:val="single"/>
            <w:lang w:eastAsia="en-NZ"/>
          </w:rPr>
          <w:t>Updates</w:t>
        </w:r>
      </w:hyperlink>
    </w:p>
    <w:p w14:paraId="53FF17B3" w14:textId="77777777" w:rsidR="007F1739" w:rsidRPr="007F1739" w:rsidRDefault="005F2E54" w:rsidP="007F1739">
      <w:pPr>
        <w:shd w:val="clear" w:color="auto" w:fill="FFFFFF"/>
        <w:spacing w:before="285" w:after="285"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pict w14:anchorId="286A65E8">
          <v:rect id="_x0000_i1025" style="width:0;height:0" o:hralign="center" o:hrstd="t" o:hr="t" fillcolor="#a0a0a0" stroked="f"/>
        </w:pict>
      </w:r>
    </w:p>
    <w:p w14:paraId="7C3D1B6B" w14:textId="77777777" w:rsidR="007F1739" w:rsidRPr="007F1739" w:rsidRDefault="007F1739" w:rsidP="007F1739">
      <w:pPr>
        <w:shd w:val="clear" w:color="auto" w:fill="FFFFFF"/>
        <w:spacing w:before="300" w:after="240" w:line="276" w:lineRule="atLeast"/>
        <w:outlineLvl w:val="1"/>
        <w:rPr>
          <w:rFonts w:ascii="Georgia" w:eastAsia="Times New Roman" w:hAnsi="Georgia" w:cs="Arial"/>
          <w:b/>
          <w:bCs/>
          <w:color w:val="002639"/>
          <w:sz w:val="37"/>
          <w:szCs w:val="37"/>
          <w:lang w:eastAsia="en-NZ"/>
        </w:rPr>
      </w:pPr>
      <w:bookmarkStart w:id="0" w:name="background"/>
      <w:bookmarkEnd w:id="0"/>
      <w:r w:rsidRPr="007F1739">
        <w:rPr>
          <w:rFonts w:ascii="Georgia" w:eastAsia="Times New Roman" w:hAnsi="Georgia" w:cs="Arial"/>
          <w:b/>
          <w:bCs/>
          <w:color w:val="002639"/>
          <w:sz w:val="37"/>
          <w:szCs w:val="37"/>
          <w:lang w:eastAsia="en-NZ"/>
        </w:rPr>
        <w:t>Background</w:t>
      </w:r>
    </w:p>
    <w:p w14:paraId="4F51DF91"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In Budget 2019, the Government committed to extending and enhancing School Based Health Services (SBHS) as an action to ‘inspire active, healthy and creative children and young people’ in the Government’s Child and Youth Wellbeing Current Programme of Action.</w:t>
      </w:r>
    </w:p>
    <w:p w14:paraId="12FA95B8"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enhancement of SBHS was also a key initiative of Budget 2019’s ‘Taking Mental Health Seriously’ package of initiatives.  </w:t>
      </w:r>
    </w:p>
    <w:p w14:paraId="324E77BB" w14:textId="3D7086C5" w:rsidR="007F1739" w:rsidRPr="007F1739" w:rsidRDefault="00A47C01" w:rsidP="007F1739">
      <w:pPr>
        <w:shd w:val="clear" w:color="auto" w:fill="FFFFFF"/>
        <w:spacing w:before="360" w:after="360"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Te Whatu Ora</w:t>
      </w:r>
      <w:r w:rsidR="00AF28D1">
        <w:rPr>
          <w:rFonts w:ascii="Arial" w:eastAsia="Times New Roman" w:hAnsi="Arial" w:cs="Arial"/>
          <w:color w:val="002639"/>
          <w:sz w:val="20"/>
          <w:szCs w:val="20"/>
          <w:lang w:eastAsia="en-NZ"/>
        </w:rPr>
        <w:t xml:space="preserve"> </w:t>
      </w:r>
      <w:r>
        <w:rPr>
          <w:rFonts w:ascii="Arial" w:eastAsia="Times New Roman" w:hAnsi="Arial" w:cs="Arial"/>
          <w:color w:val="002639"/>
          <w:sz w:val="20"/>
          <w:szCs w:val="20"/>
          <w:lang w:eastAsia="en-NZ"/>
        </w:rPr>
        <w:t>-</w:t>
      </w:r>
      <w:r w:rsidR="00AF28D1">
        <w:rPr>
          <w:rFonts w:ascii="Arial" w:eastAsia="Times New Roman" w:hAnsi="Arial" w:cs="Arial"/>
          <w:color w:val="002639"/>
          <w:sz w:val="20"/>
          <w:szCs w:val="20"/>
          <w:lang w:eastAsia="en-NZ"/>
        </w:rPr>
        <w:t xml:space="preserve"> </w:t>
      </w:r>
      <w:r w:rsidR="003F0DA8">
        <w:rPr>
          <w:rFonts w:ascii="Arial" w:eastAsia="Times New Roman" w:hAnsi="Arial" w:cs="Arial"/>
          <w:color w:val="002639"/>
          <w:sz w:val="20"/>
          <w:szCs w:val="20"/>
          <w:lang w:eastAsia="en-NZ"/>
        </w:rPr>
        <w:t>Health New Zealand’s</w:t>
      </w:r>
      <w:r w:rsidR="003F0DA8" w:rsidRPr="007F1739">
        <w:rPr>
          <w:rFonts w:ascii="Arial" w:eastAsia="Times New Roman" w:hAnsi="Arial" w:cs="Arial"/>
          <w:color w:val="002639"/>
          <w:sz w:val="20"/>
          <w:szCs w:val="20"/>
          <w:lang w:eastAsia="en-NZ"/>
        </w:rPr>
        <w:t xml:space="preserve"> SBHS enhancements programme</w:t>
      </w:r>
      <w:r w:rsidR="007D1FF2">
        <w:rPr>
          <w:rFonts w:ascii="Arial" w:eastAsia="Times New Roman" w:hAnsi="Arial" w:cs="Arial"/>
          <w:color w:val="002639"/>
          <w:sz w:val="20"/>
          <w:szCs w:val="20"/>
          <w:lang w:eastAsia="en-NZ"/>
        </w:rPr>
        <w:t xml:space="preserve"> (the programme) </w:t>
      </w:r>
      <w:r w:rsidR="007F1739" w:rsidRPr="007F1739">
        <w:rPr>
          <w:rFonts w:ascii="Arial" w:eastAsia="Times New Roman" w:hAnsi="Arial" w:cs="Arial"/>
          <w:color w:val="002639"/>
          <w:sz w:val="20"/>
          <w:szCs w:val="20"/>
          <w:lang w:eastAsia="en-NZ"/>
        </w:rPr>
        <w:t>is a five-year programme (2020-2024) to build assurance that the SBHS programme is effective and efficient in improving outcomes for young people and achieving equity.</w:t>
      </w:r>
    </w:p>
    <w:p w14:paraId="07540A24"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enhancements programme has a focus on populations currently not well served by the system, including:</w:t>
      </w:r>
    </w:p>
    <w:p w14:paraId="3E15CC50" w14:textId="77777777" w:rsidR="007F1739" w:rsidRPr="007F1739" w:rsidRDefault="007F1739" w:rsidP="007F1739">
      <w:pPr>
        <w:numPr>
          <w:ilvl w:val="0"/>
          <w:numId w:val="2"/>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rangatahi Māori</w:t>
      </w:r>
    </w:p>
    <w:p w14:paraId="654BEC9B" w14:textId="77777777" w:rsidR="007F1739" w:rsidRPr="007F1739" w:rsidRDefault="007F1739" w:rsidP="007F1739">
      <w:pPr>
        <w:numPr>
          <w:ilvl w:val="0"/>
          <w:numId w:val="2"/>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Pacific young people</w:t>
      </w:r>
    </w:p>
    <w:p w14:paraId="2CC0E474" w14:textId="77777777" w:rsidR="007F1739" w:rsidRPr="007F1739" w:rsidRDefault="007F1739" w:rsidP="007F1739">
      <w:pPr>
        <w:numPr>
          <w:ilvl w:val="0"/>
          <w:numId w:val="2"/>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rainbow young people</w:t>
      </w:r>
    </w:p>
    <w:p w14:paraId="7F09106D" w14:textId="77777777" w:rsidR="007F1739" w:rsidRPr="007F1739" w:rsidRDefault="007F1739" w:rsidP="007F1739">
      <w:pPr>
        <w:numPr>
          <w:ilvl w:val="0"/>
          <w:numId w:val="2"/>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young people in care</w:t>
      </w:r>
    </w:p>
    <w:p w14:paraId="19C82115" w14:textId="77777777" w:rsidR="007F1739" w:rsidRPr="007F1739" w:rsidRDefault="007F1739" w:rsidP="007F1739">
      <w:pPr>
        <w:numPr>
          <w:ilvl w:val="0"/>
          <w:numId w:val="2"/>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young people with disability.</w:t>
      </w:r>
    </w:p>
    <w:p w14:paraId="2DA9E34B"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enhancements programme is focussed on progressing the following enhancements to SBHS:</w:t>
      </w:r>
    </w:p>
    <w:p w14:paraId="698184B8" w14:textId="77777777" w:rsidR="007F1739" w:rsidRPr="007F1739" w:rsidRDefault="007F1739" w:rsidP="007F1739">
      <w:pPr>
        <w:numPr>
          <w:ilvl w:val="0"/>
          <w:numId w:val="3"/>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commissioning for equity and wellbeing (see below)</w:t>
      </w:r>
    </w:p>
    <w:p w14:paraId="28CD63D5" w14:textId="77777777" w:rsidR="007F1739" w:rsidRPr="007F1739" w:rsidRDefault="007F1739" w:rsidP="007F1739">
      <w:pPr>
        <w:numPr>
          <w:ilvl w:val="0"/>
          <w:numId w:val="3"/>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workforce development and support</w:t>
      </w:r>
    </w:p>
    <w:p w14:paraId="6A7BA5D0" w14:textId="77777777" w:rsidR="007F1739" w:rsidRPr="007F1739" w:rsidRDefault="007F1739" w:rsidP="007F1739">
      <w:pPr>
        <w:numPr>
          <w:ilvl w:val="0"/>
          <w:numId w:val="3"/>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improved linkages with other services and sectors</w:t>
      </w:r>
    </w:p>
    <w:p w14:paraId="249508B0" w14:textId="13A00C03" w:rsidR="007F1739" w:rsidRDefault="007F1739" w:rsidP="007F1739">
      <w:pPr>
        <w:numPr>
          <w:ilvl w:val="0"/>
          <w:numId w:val="3"/>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SBHS </w:t>
      </w:r>
      <w:r>
        <w:rPr>
          <w:rFonts w:ascii="Arial" w:eastAsia="Times New Roman" w:hAnsi="Arial" w:cs="Arial"/>
          <w:color w:val="002639"/>
          <w:sz w:val="20"/>
          <w:szCs w:val="20"/>
          <w:lang w:eastAsia="en-NZ"/>
        </w:rPr>
        <w:t>health assessment</w:t>
      </w:r>
      <w:r w:rsidRPr="007F1739">
        <w:rPr>
          <w:rFonts w:ascii="Arial" w:eastAsia="Times New Roman" w:hAnsi="Arial" w:cs="Arial"/>
          <w:color w:val="002639"/>
          <w:sz w:val="20"/>
          <w:szCs w:val="20"/>
          <w:lang w:eastAsia="en-NZ"/>
        </w:rPr>
        <w:t xml:space="preserve"> model of care.</w:t>
      </w:r>
    </w:p>
    <w:p w14:paraId="41740E80" w14:textId="4004E758" w:rsidR="00786D08" w:rsidRPr="007F1739" w:rsidRDefault="00786D08" w:rsidP="009357D0">
      <w:pPr>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br w:type="page"/>
      </w:r>
    </w:p>
    <w:p w14:paraId="047AFF8A"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8A40E1">
        <w:rPr>
          <w:rFonts w:ascii="Arial" w:eastAsia="Times New Roman" w:hAnsi="Arial" w:cs="Arial"/>
          <w:b/>
          <w:bCs/>
          <w:color w:val="002639"/>
          <w:sz w:val="20"/>
          <w:szCs w:val="20"/>
          <w:lang w:eastAsia="en-NZ"/>
        </w:rPr>
        <w:lastRenderedPageBreak/>
        <w:t>Commissioning for equity and wellbeing will include</w:t>
      </w:r>
      <w:r w:rsidRPr="007F1739">
        <w:rPr>
          <w:rFonts w:ascii="Arial" w:eastAsia="Times New Roman" w:hAnsi="Arial" w:cs="Arial"/>
          <w:color w:val="002639"/>
          <w:sz w:val="20"/>
          <w:szCs w:val="20"/>
          <w:lang w:eastAsia="en-NZ"/>
        </w:rPr>
        <w:t>:</w:t>
      </w:r>
    </w:p>
    <w:p w14:paraId="7DA9FC10" w14:textId="77777777" w:rsidR="007F1739" w:rsidRPr="007F1739" w:rsidRDefault="007F1739" w:rsidP="007F1739">
      <w:pPr>
        <w:numPr>
          <w:ilvl w:val="0"/>
          <w:numId w:val="4"/>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aims and objective of the services</w:t>
      </w:r>
    </w:p>
    <w:p w14:paraId="7D37F515" w14:textId="77777777" w:rsidR="007F1739" w:rsidRPr="007F1739" w:rsidRDefault="007F1739" w:rsidP="007F1739">
      <w:pPr>
        <w:numPr>
          <w:ilvl w:val="0"/>
          <w:numId w:val="4"/>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quality and workforce expectations</w:t>
      </w:r>
    </w:p>
    <w:p w14:paraId="66C22FD2" w14:textId="77777777" w:rsidR="007F1739" w:rsidRPr="007F1739" w:rsidRDefault="007F1739" w:rsidP="007F1739">
      <w:pPr>
        <w:numPr>
          <w:ilvl w:val="0"/>
          <w:numId w:val="4"/>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reporting and monitoring mechanisms</w:t>
      </w:r>
    </w:p>
    <w:p w14:paraId="42B17B9B" w14:textId="7DF97EF7" w:rsidR="007F1739" w:rsidRPr="007F1739" w:rsidRDefault="007F1739" w:rsidP="007F1739">
      <w:pPr>
        <w:numPr>
          <w:ilvl w:val="0"/>
          <w:numId w:val="4"/>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basis for quality improvement initiatives alongside an evaluation.</w:t>
      </w:r>
    </w:p>
    <w:p w14:paraId="2DDFCDDD"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commissioning work will:</w:t>
      </w:r>
    </w:p>
    <w:p w14:paraId="7DE967FB" w14:textId="77777777" w:rsidR="007F1739" w:rsidRPr="007F1739" w:rsidRDefault="007F1739" w:rsidP="007F1739">
      <w:pPr>
        <w:numPr>
          <w:ilvl w:val="0"/>
          <w:numId w:val="5"/>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reflect Te Tiriti o Waitangi (Te Tiriti) principles</w:t>
      </w:r>
    </w:p>
    <w:p w14:paraId="7E46FA12" w14:textId="77777777" w:rsidR="007F1739" w:rsidRPr="007F1739" w:rsidRDefault="007F1739" w:rsidP="00CB07AC">
      <w:pPr>
        <w:numPr>
          <w:ilvl w:val="0"/>
          <w:numId w:val="5"/>
        </w:numPr>
        <w:shd w:val="clear" w:color="auto" w:fill="FFFFFF"/>
        <w:tabs>
          <w:tab w:val="clear" w:pos="720"/>
        </w:tabs>
        <w:spacing w:before="100" w:beforeAutospacing="1" w:after="100" w:afterAutospacing="1" w:line="240" w:lineRule="auto"/>
        <w:ind w:left="709" w:hanging="169"/>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ensure the needs and concerns of young people are central to the measures and indicators and are addressed by the services</w:t>
      </w:r>
    </w:p>
    <w:p w14:paraId="03F48858" w14:textId="77777777" w:rsidR="007F1739" w:rsidRPr="007F1739" w:rsidRDefault="007F1739" w:rsidP="007F1739">
      <w:pPr>
        <w:numPr>
          <w:ilvl w:val="0"/>
          <w:numId w:val="5"/>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link to the </w:t>
      </w:r>
      <w:hyperlink r:id="rId9" w:history="1">
        <w:r w:rsidRPr="007F1739">
          <w:rPr>
            <w:rFonts w:ascii="Arial" w:eastAsia="Times New Roman" w:hAnsi="Arial" w:cs="Arial"/>
            <w:color w:val="005D85"/>
            <w:sz w:val="20"/>
            <w:szCs w:val="20"/>
            <w:u w:val="single"/>
            <w:lang w:eastAsia="en-NZ"/>
          </w:rPr>
          <w:t>Child and Youth Wellbeing Strategy</w:t>
        </w:r>
      </w:hyperlink>
      <w:r w:rsidRPr="007F1739">
        <w:rPr>
          <w:rFonts w:ascii="Arial" w:eastAsia="Times New Roman" w:hAnsi="Arial" w:cs="Arial"/>
          <w:color w:val="002639"/>
          <w:sz w:val="20"/>
          <w:szCs w:val="20"/>
          <w:lang w:eastAsia="en-NZ"/>
        </w:rPr>
        <w:t> and other relevant government agency strategies. </w:t>
      </w:r>
    </w:p>
    <w:p w14:paraId="63C9C6AD" w14:textId="307A4CE5" w:rsidR="007F1739" w:rsidRPr="007F1739" w:rsidRDefault="007F1739" w:rsidP="002B4F21">
      <w:pPr>
        <w:shd w:val="clear" w:color="auto" w:fill="FFFFFF"/>
        <w:spacing w:before="360" w:after="360" w:line="240" w:lineRule="auto"/>
        <w:rPr>
          <w:rFonts w:ascii="Georgia" w:eastAsia="Times New Roman" w:hAnsi="Georgia" w:cs="Arial"/>
          <w:b/>
          <w:bCs/>
          <w:color w:val="002639"/>
          <w:sz w:val="37"/>
          <w:szCs w:val="37"/>
          <w:lang w:eastAsia="en-NZ"/>
        </w:rPr>
      </w:pPr>
      <w:bookmarkStart w:id="1" w:name="keyth"/>
      <w:bookmarkEnd w:id="1"/>
      <w:r w:rsidRPr="007F1739">
        <w:rPr>
          <w:rFonts w:ascii="Georgia" w:eastAsia="Times New Roman" w:hAnsi="Georgia" w:cs="Arial"/>
          <w:b/>
          <w:bCs/>
          <w:color w:val="002639"/>
          <w:sz w:val="37"/>
          <w:szCs w:val="37"/>
          <w:lang w:eastAsia="en-NZ"/>
        </w:rPr>
        <w:t>Key themes for the success of the mahi</w:t>
      </w:r>
    </w:p>
    <w:p w14:paraId="4ED7B6EF" w14:textId="77777777" w:rsidR="007F1739" w:rsidRPr="007F1739" w:rsidRDefault="007F1739" w:rsidP="007F1739">
      <w:pPr>
        <w:shd w:val="clear" w:color="auto" w:fill="FFFFFF"/>
        <w:spacing w:before="277" w:after="277" w:line="320" w:lineRule="atLeast"/>
        <w:outlineLvl w:val="2"/>
        <w:rPr>
          <w:rFonts w:ascii="Georgia" w:eastAsia="Times New Roman" w:hAnsi="Georgia" w:cs="Arial"/>
          <w:b/>
          <w:bCs/>
          <w:color w:val="002639"/>
          <w:sz w:val="28"/>
          <w:szCs w:val="28"/>
          <w:lang w:eastAsia="en-NZ"/>
        </w:rPr>
      </w:pPr>
      <w:r w:rsidRPr="007F1739">
        <w:rPr>
          <w:rFonts w:ascii="Georgia" w:eastAsia="Times New Roman" w:hAnsi="Georgia" w:cs="Arial"/>
          <w:b/>
          <w:bCs/>
          <w:color w:val="002639"/>
          <w:sz w:val="28"/>
          <w:szCs w:val="28"/>
          <w:lang w:eastAsia="en-NZ"/>
        </w:rPr>
        <w:t>1. Giving effect to Te Tiriti o Waitangi</w:t>
      </w:r>
    </w:p>
    <w:p w14:paraId="4491D1BB" w14:textId="2D94B026" w:rsidR="007F1739" w:rsidRPr="007F1739" w:rsidRDefault="005F2E54" w:rsidP="007F1739">
      <w:pPr>
        <w:shd w:val="clear" w:color="auto" w:fill="FFFFFF"/>
        <w:spacing w:before="360" w:after="360" w:line="240" w:lineRule="auto"/>
        <w:rPr>
          <w:rFonts w:ascii="Arial" w:eastAsia="Times New Roman" w:hAnsi="Arial" w:cs="Arial"/>
          <w:color w:val="002639"/>
          <w:sz w:val="20"/>
          <w:szCs w:val="20"/>
          <w:lang w:eastAsia="en-NZ"/>
        </w:rPr>
      </w:pPr>
      <w:hyperlink r:id="rId10" w:history="1">
        <w:r w:rsidR="007F1739" w:rsidRPr="007F1739">
          <w:rPr>
            <w:rFonts w:ascii="Arial" w:eastAsia="Times New Roman" w:hAnsi="Arial" w:cs="Arial"/>
            <w:color w:val="005D85"/>
            <w:sz w:val="20"/>
            <w:szCs w:val="20"/>
            <w:u w:val="single"/>
            <w:lang w:eastAsia="en-NZ"/>
          </w:rPr>
          <w:t>Whakamaua: Māori Health Action Plan 2020-2025</w:t>
        </w:r>
      </w:hyperlink>
      <w:r w:rsidR="007F1739" w:rsidRPr="007F1739">
        <w:rPr>
          <w:rFonts w:ascii="Arial" w:eastAsia="Times New Roman" w:hAnsi="Arial" w:cs="Arial"/>
          <w:color w:val="002639"/>
          <w:sz w:val="20"/>
          <w:szCs w:val="20"/>
          <w:lang w:eastAsia="en-NZ"/>
        </w:rPr>
        <w:t> guides the</w:t>
      </w:r>
      <w:r w:rsidR="00885246">
        <w:rPr>
          <w:rFonts w:ascii="Arial" w:eastAsia="Times New Roman" w:hAnsi="Arial" w:cs="Arial"/>
          <w:color w:val="002639"/>
          <w:sz w:val="20"/>
          <w:szCs w:val="20"/>
          <w:lang w:eastAsia="en-NZ"/>
        </w:rPr>
        <w:t xml:space="preserve"> Ministry of Health</w:t>
      </w:r>
      <w:r w:rsidR="007F1739" w:rsidRPr="007F1739">
        <w:rPr>
          <w:rFonts w:ascii="Arial" w:eastAsia="Times New Roman" w:hAnsi="Arial" w:cs="Arial"/>
          <w:color w:val="002639"/>
          <w:sz w:val="20"/>
          <w:szCs w:val="20"/>
          <w:lang w:eastAsia="en-NZ"/>
        </w:rPr>
        <w:t>, the whole health and disability system, and government to give effect to </w:t>
      </w:r>
      <w:hyperlink r:id="rId11" w:history="1">
        <w:r w:rsidR="007F1739" w:rsidRPr="007F1739">
          <w:rPr>
            <w:rFonts w:ascii="Arial" w:eastAsia="Times New Roman" w:hAnsi="Arial" w:cs="Arial"/>
            <w:color w:val="005D85"/>
            <w:sz w:val="20"/>
            <w:szCs w:val="20"/>
            <w:u w:val="single"/>
            <w:lang w:eastAsia="en-NZ"/>
          </w:rPr>
          <w:t>He Korowai Oranga: Māori Health Strategy</w:t>
        </w:r>
      </w:hyperlink>
      <w:r w:rsidR="007F1739" w:rsidRPr="007F1739">
        <w:rPr>
          <w:rFonts w:ascii="Arial" w:eastAsia="Times New Roman" w:hAnsi="Arial" w:cs="Arial"/>
          <w:color w:val="002639"/>
          <w:sz w:val="20"/>
          <w:szCs w:val="20"/>
          <w:lang w:eastAsia="en-NZ"/>
        </w:rPr>
        <w:t>. Whakamaua is underpinned by the Ministry of Health’s </w:t>
      </w:r>
      <w:hyperlink r:id="rId12" w:history="1">
        <w:r w:rsidR="007F1739" w:rsidRPr="007F1739">
          <w:rPr>
            <w:rFonts w:ascii="Arial" w:eastAsia="Times New Roman" w:hAnsi="Arial" w:cs="Arial"/>
            <w:color w:val="005D85"/>
            <w:sz w:val="20"/>
            <w:szCs w:val="20"/>
            <w:u w:val="single"/>
            <w:lang w:eastAsia="en-NZ"/>
          </w:rPr>
          <w:t>Te Tiriti o Waitangi framework</w:t>
        </w:r>
      </w:hyperlink>
      <w:r w:rsidR="007F1739" w:rsidRPr="007F1739">
        <w:rPr>
          <w:rFonts w:ascii="Arial" w:eastAsia="Times New Roman" w:hAnsi="Arial" w:cs="Arial"/>
          <w:color w:val="002639"/>
          <w:sz w:val="20"/>
          <w:szCs w:val="20"/>
          <w:lang w:eastAsia="en-NZ"/>
        </w:rPr>
        <w:t> – which provides a tool for the health and disability system to fulfil its stewardship obligations and special relationship between Māori and the Crown. Te Tiriti o Waitangi not only describes Crown obligations and Māori rights, but is also a key improvement tool for achieving health equity and wellbeing for Māori. </w:t>
      </w:r>
    </w:p>
    <w:p w14:paraId="2927C3C8"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Tino rangatiratanga</w:t>
      </w:r>
    </w:p>
    <w:p w14:paraId="758EA91E" w14:textId="240C699F"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proofErr w:type="gramStart"/>
      <w:r w:rsidRPr="007F1739">
        <w:rPr>
          <w:rFonts w:ascii="Arial" w:eastAsia="Times New Roman" w:hAnsi="Arial" w:cs="Arial"/>
          <w:color w:val="002639"/>
          <w:sz w:val="20"/>
          <w:szCs w:val="20"/>
          <w:lang w:eastAsia="en-NZ"/>
        </w:rPr>
        <w:t xml:space="preserve">The  </w:t>
      </w:r>
      <w:r w:rsidR="00ED5508">
        <w:rPr>
          <w:rFonts w:ascii="Arial" w:eastAsia="Times New Roman" w:hAnsi="Arial" w:cs="Arial"/>
          <w:color w:val="002639"/>
          <w:sz w:val="20"/>
          <w:szCs w:val="20"/>
          <w:lang w:eastAsia="en-NZ"/>
        </w:rPr>
        <w:t>p</w:t>
      </w:r>
      <w:r w:rsidRPr="007F1739">
        <w:rPr>
          <w:rFonts w:ascii="Arial" w:eastAsia="Times New Roman" w:hAnsi="Arial" w:cs="Arial"/>
          <w:color w:val="002639"/>
          <w:sz w:val="20"/>
          <w:szCs w:val="20"/>
          <w:lang w:eastAsia="en-NZ"/>
        </w:rPr>
        <w:t>rogramme</w:t>
      </w:r>
      <w:proofErr w:type="gramEnd"/>
      <w:r w:rsidRPr="007F1739">
        <w:rPr>
          <w:rFonts w:ascii="Arial" w:eastAsia="Times New Roman" w:hAnsi="Arial" w:cs="Arial"/>
          <w:color w:val="002639"/>
          <w:sz w:val="20"/>
          <w:szCs w:val="20"/>
          <w:lang w:eastAsia="en-NZ"/>
        </w:rPr>
        <w:t xml:space="preserve"> fully supports Māori and their whānau to exercise their right as Māori to be Māori and have mana motuhake over their health and wellbeing through the stewardship of Te Rōpū Mātanga o Rangatahi, our Māori youth </w:t>
      </w:r>
      <w:r>
        <w:rPr>
          <w:rFonts w:ascii="Arial" w:eastAsia="Times New Roman" w:hAnsi="Arial" w:cs="Arial"/>
          <w:color w:val="002639"/>
          <w:sz w:val="20"/>
          <w:szCs w:val="20"/>
          <w:lang w:eastAsia="en-NZ"/>
        </w:rPr>
        <w:t xml:space="preserve">health sector </w:t>
      </w:r>
      <w:r w:rsidRPr="007F1739">
        <w:rPr>
          <w:rFonts w:ascii="Arial" w:eastAsia="Times New Roman" w:hAnsi="Arial" w:cs="Arial"/>
          <w:color w:val="002639"/>
          <w:sz w:val="20"/>
          <w:szCs w:val="20"/>
          <w:lang w:eastAsia="en-NZ"/>
        </w:rPr>
        <w:t xml:space="preserve">advisory group (part of Te Tatau Kitenga, our youth </w:t>
      </w:r>
      <w:r>
        <w:rPr>
          <w:rFonts w:ascii="Arial" w:eastAsia="Times New Roman" w:hAnsi="Arial" w:cs="Arial"/>
          <w:color w:val="002639"/>
          <w:sz w:val="20"/>
          <w:szCs w:val="20"/>
          <w:lang w:eastAsia="en-NZ"/>
        </w:rPr>
        <w:t xml:space="preserve">health sector </w:t>
      </w:r>
      <w:r w:rsidRPr="007F1739">
        <w:rPr>
          <w:rFonts w:ascii="Arial" w:eastAsia="Times New Roman" w:hAnsi="Arial" w:cs="Arial"/>
          <w:color w:val="002639"/>
          <w:sz w:val="20"/>
          <w:szCs w:val="20"/>
          <w:lang w:eastAsia="en-NZ"/>
        </w:rPr>
        <w:t>advisory group). Te Rōpū Mātanga o Rangatahi will have time independently to reflect on rangatiratanga as part of this programme.</w:t>
      </w:r>
    </w:p>
    <w:p w14:paraId="7CFADF74"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Equity</w:t>
      </w:r>
    </w:p>
    <w:p w14:paraId="3F5B5336" w14:textId="4D99ECAB"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programme has a focus on meeting the needs of rangatahi Māori to enable equitable health outcomes. Ōritetanga is a key value of the program</w:t>
      </w:r>
      <w:r w:rsidR="00540039">
        <w:rPr>
          <w:rFonts w:ascii="Arial" w:eastAsia="Times New Roman" w:hAnsi="Arial" w:cs="Arial"/>
          <w:color w:val="002639"/>
          <w:sz w:val="20"/>
          <w:szCs w:val="20"/>
          <w:lang w:eastAsia="en-NZ"/>
        </w:rPr>
        <w:t>me</w:t>
      </w:r>
      <w:r w:rsidR="00B0763E">
        <w:rPr>
          <w:rFonts w:ascii="Arial" w:eastAsia="Times New Roman" w:hAnsi="Arial" w:cs="Arial"/>
          <w:color w:val="002639"/>
          <w:sz w:val="20"/>
          <w:szCs w:val="20"/>
          <w:lang w:eastAsia="en-NZ"/>
        </w:rPr>
        <w:t xml:space="preserve"> reflecting the</w:t>
      </w:r>
      <w:r w:rsidRPr="007F1739">
        <w:rPr>
          <w:rFonts w:ascii="Arial" w:eastAsia="Times New Roman" w:hAnsi="Arial" w:cs="Arial"/>
          <w:color w:val="002639"/>
          <w:sz w:val="20"/>
          <w:szCs w:val="20"/>
          <w:lang w:eastAsia="en-NZ"/>
        </w:rPr>
        <w:t xml:space="preserve"> importance </w:t>
      </w:r>
      <w:r w:rsidR="00887AC8">
        <w:rPr>
          <w:rFonts w:ascii="Arial" w:eastAsia="Times New Roman" w:hAnsi="Arial" w:cs="Arial"/>
          <w:color w:val="002639"/>
          <w:sz w:val="20"/>
          <w:szCs w:val="20"/>
          <w:lang w:eastAsia="en-NZ"/>
        </w:rPr>
        <w:t>of</w:t>
      </w:r>
      <w:r w:rsidR="007C67BA">
        <w:rPr>
          <w:rFonts w:ascii="Arial" w:eastAsia="Times New Roman" w:hAnsi="Arial" w:cs="Arial"/>
          <w:color w:val="002639"/>
          <w:sz w:val="20"/>
          <w:szCs w:val="20"/>
          <w:lang w:eastAsia="en-NZ"/>
        </w:rPr>
        <w:t xml:space="preserve"> </w:t>
      </w:r>
      <w:r w:rsidR="00887AC8">
        <w:rPr>
          <w:rFonts w:ascii="Arial" w:eastAsia="Times New Roman" w:hAnsi="Arial" w:cs="Arial"/>
          <w:color w:val="002639"/>
          <w:sz w:val="20"/>
          <w:szCs w:val="20"/>
          <w:lang w:eastAsia="en-NZ"/>
        </w:rPr>
        <w:t xml:space="preserve">equity </w:t>
      </w:r>
      <w:r w:rsidRPr="007F1739">
        <w:rPr>
          <w:rFonts w:ascii="Arial" w:eastAsia="Times New Roman" w:hAnsi="Arial" w:cs="Arial"/>
          <w:color w:val="002639"/>
          <w:sz w:val="20"/>
          <w:szCs w:val="20"/>
          <w:lang w:eastAsia="en-NZ"/>
        </w:rPr>
        <w:t>in this work.</w:t>
      </w:r>
    </w:p>
    <w:p w14:paraId="2D941204" w14:textId="0E10BF08"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The programme is an important tool for identifying gaps within current SBHS and addressing inequity. Rangatahi Māori are involved in </w:t>
      </w:r>
      <w:r>
        <w:rPr>
          <w:rFonts w:ascii="Arial" w:eastAsia="Times New Roman" w:hAnsi="Arial" w:cs="Arial"/>
          <w:color w:val="002639"/>
          <w:sz w:val="20"/>
          <w:szCs w:val="20"/>
          <w:lang w:eastAsia="en-NZ"/>
        </w:rPr>
        <w:t>the Youth Advisory G</w:t>
      </w:r>
      <w:r w:rsidRPr="007F1739">
        <w:rPr>
          <w:rFonts w:ascii="Arial" w:eastAsia="Times New Roman" w:hAnsi="Arial" w:cs="Arial"/>
          <w:color w:val="002639"/>
          <w:sz w:val="20"/>
          <w:szCs w:val="20"/>
          <w:lang w:eastAsia="en-NZ"/>
        </w:rPr>
        <w:t>roup, and their voice and views will be facilitated and focussed on during consultation. Key areas should be identified as part of the programme that can be measured over time as achieving equity between Māori and non-Māori</w:t>
      </w:r>
      <w:r>
        <w:rPr>
          <w:rFonts w:ascii="Arial" w:eastAsia="Times New Roman" w:hAnsi="Arial" w:cs="Arial"/>
          <w:color w:val="002639"/>
          <w:sz w:val="20"/>
          <w:szCs w:val="20"/>
          <w:lang w:eastAsia="en-NZ"/>
        </w:rPr>
        <w:t>.</w:t>
      </w:r>
    </w:p>
    <w:p w14:paraId="2483DD4D"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Active protection</w:t>
      </w:r>
    </w:p>
    <w:p w14:paraId="71CD8F23" w14:textId="5B165ECC"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The programme recognises the importance of protecting Māori health and is based on a kaupapa Māori approach to ensure the model of care delivers for Māori. Initial actions include putting in place </w:t>
      </w:r>
      <w:r>
        <w:rPr>
          <w:rFonts w:ascii="Arial" w:eastAsia="Times New Roman" w:hAnsi="Arial" w:cs="Arial"/>
          <w:color w:val="002639"/>
          <w:sz w:val="20"/>
          <w:szCs w:val="20"/>
          <w:lang w:eastAsia="en-NZ"/>
        </w:rPr>
        <w:t>Te Ūkaipō, the</w:t>
      </w:r>
      <w:r w:rsidRPr="007F1739">
        <w:rPr>
          <w:rFonts w:ascii="Arial" w:eastAsia="Times New Roman" w:hAnsi="Arial" w:cs="Arial"/>
          <w:color w:val="002639"/>
          <w:sz w:val="20"/>
          <w:szCs w:val="20"/>
          <w:lang w:eastAsia="en-NZ"/>
        </w:rPr>
        <w:t xml:space="preserve"> values framework based in te ao Māori and mātauranga Māori, and resource </w:t>
      </w:r>
      <w:r w:rsidRPr="007F1739">
        <w:rPr>
          <w:rFonts w:ascii="Arial" w:eastAsia="Times New Roman" w:hAnsi="Arial" w:cs="Arial"/>
          <w:color w:val="002639"/>
          <w:sz w:val="20"/>
          <w:szCs w:val="20"/>
          <w:lang w:eastAsia="en-NZ"/>
        </w:rPr>
        <w:lastRenderedPageBreak/>
        <w:t xml:space="preserve">allocation that prioritises Māori. </w:t>
      </w:r>
      <w:r w:rsidR="002B4F21">
        <w:rPr>
          <w:rFonts w:ascii="Arial" w:eastAsia="Times New Roman" w:hAnsi="Arial" w:cs="Arial"/>
          <w:color w:val="002639"/>
          <w:sz w:val="20"/>
          <w:szCs w:val="20"/>
          <w:lang w:eastAsia="en-NZ"/>
        </w:rPr>
        <w:t>The</w:t>
      </w:r>
      <w:r w:rsidR="002B4F21" w:rsidRPr="007F1739">
        <w:rPr>
          <w:rFonts w:ascii="Arial" w:eastAsia="Times New Roman" w:hAnsi="Arial" w:cs="Arial"/>
          <w:color w:val="002639"/>
          <w:sz w:val="20"/>
          <w:szCs w:val="20"/>
          <w:lang w:eastAsia="en-NZ"/>
        </w:rPr>
        <w:t xml:space="preserve"> </w:t>
      </w:r>
      <w:r w:rsidRPr="007F1739">
        <w:rPr>
          <w:rFonts w:ascii="Arial" w:eastAsia="Times New Roman" w:hAnsi="Arial" w:cs="Arial"/>
          <w:color w:val="002639"/>
          <w:sz w:val="20"/>
          <w:szCs w:val="20"/>
          <w:lang w:eastAsia="en-NZ"/>
        </w:rPr>
        <w:t>service monitoring and evaluation will include analysis by ethnicity so we can identify and respond to impacts on Māori outcomes and equity.</w:t>
      </w:r>
    </w:p>
    <w:p w14:paraId="75F92C72"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programme is committed to being clear and respectful on ownership of data, seeking of consents and permissions appropriately, and preparing and disseminating findings in open and mana enhancing ways. </w:t>
      </w:r>
    </w:p>
    <w:p w14:paraId="732AFFA1"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Options</w:t>
      </w:r>
    </w:p>
    <w:p w14:paraId="539DCB2F" w14:textId="42EA7432" w:rsidR="007F1739" w:rsidRPr="007F1739" w:rsidRDefault="00493789" w:rsidP="007F1739">
      <w:pPr>
        <w:shd w:val="clear" w:color="auto" w:fill="FFFFFF"/>
        <w:spacing w:before="360" w:after="360"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Through</w:t>
      </w:r>
      <w:r w:rsidR="007F1739" w:rsidRPr="007F1739">
        <w:rPr>
          <w:rFonts w:ascii="Arial" w:eastAsia="Times New Roman" w:hAnsi="Arial" w:cs="Arial"/>
          <w:color w:val="002639"/>
          <w:sz w:val="20"/>
          <w:szCs w:val="20"/>
          <w:lang w:eastAsia="en-NZ"/>
        </w:rPr>
        <w:t xml:space="preserve"> </w:t>
      </w:r>
      <w:r w:rsidR="007F1739">
        <w:rPr>
          <w:rFonts w:ascii="Arial" w:eastAsia="Times New Roman" w:hAnsi="Arial" w:cs="Arial"/>
          <w:color w:val="002639"/>
          <w:sz w:val="20"/>
          <w:szCs w:val="20"/>
          <w:lang w:eastAsia="en-NZ"/>
        </w:rPr>
        <w:t xml:space="preserve">Te Ūkaipō and </w:t>
      </w:r>
      <w:r w:rsidR="007F1739" w:rsidRPr="007F1739">
        <w:rPr>
          <w:rFonts w:ascii="Arial" w:eastAsia="Times New Roman" w:hAnsi="Arial" w:cs="Arial"/>
          <w:color w:val="002639"/>
          <w:sz w:val="20"/>
          <w:szCs w:val="20"/>
          <w:lang w:eastAsia="en-NZ"/>
        </w:rPr>
        <w:t xml:space="preserve">resource allocation that prioritises Māori, SBHS will be supported to deliver high quality and culturally safe services in both full immersion </w:t>
      </w:r>
      <w:r w:rsidR="007F1739">
        <w:rPr>
          <w:rFonts w:ascii="Arial" w:eastAsia="Times New Roman" w:hAnsi="Arial" w:cs="Arial"/>
          <w:color w:val="002639"/>
          <w:sz w:val="20"/>
          <w:szCs w:val="20"/>
          <w:lang w:eastAsia="en-NZ"/>
        </w:rPr>
        <w:t>t</w:t>
      </w:r>
      <w:r w:rsidR="007F1739" w:rsidRPr="007F1739">
        <w:rPr>
          <w:rFonts w:ascii="Arial" w:eastAsia="Times New Roman" w:hAnsi="Arial" w:cs="Arial"/>
          <w:color w:val="002639"/>
          <w:sz w:val="20"/>
          <w:szCs w:val="20"/>
          <w:lang w:eastAsia="en-NZ"/>
        </w:rPr>
        <w:t xml:space="preserve">e </w:t>
      </w:r>
      <w:r w:rsidR="007F1739">
        <w:rPr>
          <w:rFonts w:ascii="Arial" w:eastAsia="Times New Roman" w:hAnsi="Arial" w:cs="Arial"/>
          <w:color w:val="002639"/>
          <w:sz w:val="20"/>
          <w:szCs w:val="20"/>
          <w:lang w:eastAsia="en-NZ"/>
        </w:rPr>
        <w:t>r</w:t>
      </w:r>
      <w:r w:rsidR="007F1739" w:rsidRPr="007F1739">
        <w:rPr>
          <w:rFonts w:ascii="Arial" w:eastAsia="Times New Roman" w:hAnsi="Arial" w:cs="Arial"/>
          <w:color w:val="002639"/>
          <w:sz w:val="20"/>
          <w:szCs w:val="20"/>
          <w:lang w:eastAsia="en-NZ"/>
        </w:rPr>
        <w:t xml:space="preserve">eo Māori education settings, bilingual </w:t>
      </w:r>
      <w:proofErr w:type="gramStart"/>
      <w:r w:rsidR="007F1739" w:rsidRPr="007F1739">
        <w:rPr>
          <w:rFonts w:ascii="Arial" w:eastAsia="Times New Roman" w:hAnsi="Arial" w:cs="Arial"/>
          <w:color w:val="002639"/>
          <w:sz w:val="20"/>
          <w:szCs w:val="20"/>
          <w:lang w:eastAsia="en-NZ"/>
        </w:rPr>
        <w:t>units</w:t>
      </w:r>
      <w:proofErr w:type="gramEnd"/>
      <w:r w:rsidR="007F1739" w:rsidRPr="007F1739">
        <w:rPr>
          <w:rFonts w:ascii="Arial" w:eastAsia="Times New Roman" w:hAnsi="Arial" w:cs="Arial"/>
          <w:color w:val="002639"/>
          <w:sz w:val="20"/>
          <w:szCs w:val="20"/>
          <w:lang w:eastAsia="en-NZ"/>
        </w:rPr>
        <w:t xml:space="preserve"> and mainstream secondary school settings. </w:t>
      </w:r>
      <w:r w:rsidR="007F1739">
        <w:rPr>
          <w:rFonts w:ascii="Arial" w:eastAsia="Times New Roman" w:hAnsi="Arial" w:cs="Arial"/>
          <w:color w:val="002639"/>
          <w:sz w:val="20"/>
          <w:szCs w:val="20"/>
          <w:lang w:eastAsia="en-NZ"/>
        </w:rPr>
        <w:t>T</w:t>
      </w:r>
      <w:r w:rsidR="007F1739" w:rsidRPr="007F1739">
        <w:rPr>
          <w:rFonts w:ascii="Arial" w:eastAsia="Times New Roman" w:hAnsi="Arial" w:cs="Arial"/>
          <w:color w:val="002639"/>
          <w:sz w:val="20"/>
          <w:szCs w:val="20"/>
          <w:lang w:eastAsia="en-NZ"/>
        </w:rPr>
        <w:t xml:space="preserve">e </w:t>
      </w:r>
      <w:r w:rsidR="007F1739">
        <w:rPr>
          <w:rFonts w:ascii="Arial" w:eastAsia="Times New Roman" w:hAnsi="Arial" w:cs="Arial"/>
          <w:color w:val="002639"/>
          <w:sz w:val="20"/>
          <w:szCs w:val="20"/>
          <w:lang w:eastAsia="en-NZ"/>
        </w:rPr>
        <w:t>r</w:t>
      </w:r>
      <w:r w:rsidR="007F1739" w:rsidRPr="007F1739">
        <w:rPr>
          <w:rFonts w:ascii="Arial" w:eastAsia="Times New Roman" w:hAnsi="Arial" w:cs="Arial"/>
          <w:color w:val="002639"/>
          <w:sz w:val="20"/>
          <w:szCs w:val="20"/>
          <w:lang w:eastAsia="en-NZ"/>
        </w:rPr>
        <w:t xml:space="preserve">eo Māori is a key value of </w:t>
      </w:r>
      <w:r w:rsidR="007F1739">
        <w:rPr>
          <w:rFonts w:ascii="Arial" w:eastAsia="Times New Roman" w:hAnsi="Arial" w:cs="Arial"/>
          <w:color w:val="002639"/>
          <w:sz w:val="20"/>
          <w:szCs w:val="20"/>
          <w:lang w:eastAsia="en-NZ"/>
        </w:rPr>
        <w:t>Te Ūkaipō</w:t>
      </w:r>
      <w:r w:rsidR="007F1739" w:rsidRPr="007F1739">
        <w:rPr>
          <w:rFonts w:ascii="Arial" w:eastAsia="Times New Roman" w:hAnsi="Arial" w:cs="Arial"/>
          <w:color w:val="002639"/>
          <w:sz w:val="20"/>
          <w:szCs w:val="20"/>
          <w:lang w:eastAsia="en-NZ"/>
        </w:rPr>
        <w:t xml:space="preserve"> and</w:t>
      </w:r>
      <w:r w:rsidR="007F1739">
        <w:rPr>
          <w:rFonts w:ascii="Arial" w:eastAsia="Times New Roman" w:hAnsi="Arial" w:cs="Arial"/>
          <w:color w:val="002639"/>
          <w:sz w:val="20"/>
          <w:szCs w:val="20"/>
          <w:lang w:eastAsia="en-NZ"/>
        </w:rPr>
        <w:t xml:space="preserve"> SBHS</w:t>
      </w:r>
      <w:r w:rsidR="007F1739" w:rsidRPr="007F1739">
        <w:rPr>
          <w:rFonts w:ascii="Arial" w:eastAsia="Times New Roman" w:hAnsi="Arial" w:cs="Arial"/>
          <w:color w:val="002639"/>
          <w:sz w:val="20"/>
          <w:szCs w:val="20"/>
          <w:lang w:eastAsia="en-NZ"/>
        </w:rPr>
        <w:t xml:space="preserve"> should reflect language preference options in</w:t>
      </w:r>
      <w:r w:rsidR="007F1739">
        <w:rPr>
          <w:rFonts w:ascii="Arial" w:eastAsia="Times New Roman" w:hAnsi="Arial" w:cs="Arial"/>
          <w:color w:val="002639"/>
          <w:sz w:val="20"/>
          <w:szCs w:val="20"/>
          <w:lang w:eastAsia="en-NZ"/>
        </w:rPr>
        <w:t>to</w:t>
      </w:r>
      <w:r w:rsidR="007F1739" w:rsidRPr="007F1739">
        <w:rPr>
          <w:rFonts w:ascii="Arial" w:eastAsia="Times New Roman" w:hAnsi="Arial" w:cs="Arial"/>
          <w:color w:val="002639"/>
          <w:sz w:val="20"/>
          <w:szCs w:val="20"/>
          <w:lang w:eastAsia="en-NZ"/>
        </w:rPr>
        <w:t xml:space="preserve"> the future.</w:t>
      </w:r>
    </w:p>
    <w:p w14:paraId="6788A21D"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Partnership</w:t>
      </w:r>
    </w:p>
    <w:p w14:paraId="7FC01CC8" w14:textId="0B3CC15F" w:rsidR="007F1739" w:rsidRPr="007F1739" w:rsidRDefault="00636B9D" w:rsidP="007F1739">
      <w:pPr>
        <w:shd w:val="clear" w:color="auto" w:fill="FFFFFF"/>
        <w:spacing w:before="360" w:after="360"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Te Whatu Ora</w:t>
      </w:r>
      <w:r w:rsidDel="00636B9D">
        <w:rPr>
          <w:rFonts w:ascii="Arial" w:eastAsia="Times New Roman" w:hAnsi="Arial" w:cs="Arial"/>
          <w:color w:val="002639"/>
          <w:sz w:val="20"/>
          <w:szCs w:val="20"/>
          <w:lang w:eastAsia="en-NZ"/>
        </w:rPr>
        <w:t xml:space="preserve"> </w:t>
      </w:r>
      <w:r w:rsidR="002B4F21">
        <w:rPr>
          <w:rFonts w:ascii="Arial" w:eastAsia="Times New Roman" w:hAnsi="Arial" w:cs="Arial"/>
          <w:color w:val="002639"/>
          <w:sz w:val="20"/>
          <w:szCs w:val="20"/>
          <w:lang w:eastAsia="en-NZ"/>
        </w:rPr>
        <w:t xml:space="preserve">recognises </w:t>
      </w:r>
      <w:r w:rsidR="007F1739" w:rsidRPr="007F1739">
        <w:rPr>
          <w:rFonts w:ascii="Arial" w:eastAsia="Times New Roman" w:hAnsi="Arial" w:cs="Arial"/>
          <w:color w:val="002639"/>
          <w:sz w:val="20"/>
          <w:szCs w:val="20"/>
          <w:lang w:eastAsia="en-NZ"/>
        </w:rPr>
        <w:t>the importance of establishing meaningful working relationships that reflect partnership with Māori. We hold a partner relationship with the Māori youth health sector through Te Rōpū Mātanga o Rangatahi and ensure consultation and communication with Māori in each of our stakeholder groups. Meaningful partnerships will be sought with</w:t>
      </w:r>
      <w:r w:rsidR="004C52A3">
        <w:rPr>
          <w:rFonts w:ascii="Arial" w:eastAsia="Times New Roman" w:hAnsi="Arial" w:cs="Arial"/>
          <w:color w:val="002639"/>
          <w:sz w:val="20"/>
          <w:szCs w:val="20"/>
          <w:lang w:eastAsia="en-NZ"/>
        </w:rPr>
        <w:t xml:space="preserve"> the Māori Health Authority,</w:t>
      </w:r>
      <w:r w:rsidR="007F1739" w:rsidRPr="007F1739">
        <w:rPr>
          <w:rFonts w:ascii="Arial" w:eastAsia="Times New Roman" w:hAnsi="Arial" w:cs="Arial"/>
          <w:color w:val="002639"/>
          <w:sz w:val="20"/>
          <w:szCs w:val="20"/>
          <w:lang w:eastAsia="en-NZ"/>
        </w:rPr>
        <w:t xml:space="preserve"> Māori Education, Te Rūnanga Nui o Ngā Kura Kaupapa Māori o Aotearoa and Ngā Kura ā Iwi o Aotearoa in the development of enhanced service delivery models.</w:t>
      </w:r>
    </w:p>
    <w:p w14:paraId="081D143A" w14:textId="77777777" w:rsidR="007F1739" w:rsidRPr="007F1739" w:rsidRDefault="007F1739" w:rsidP="007F1739">
      <w:pPr>
        <w:shd w:val="clear" w:color="auto" w:fill="FFFFFF"/>
        <w:spacing w:before="277" w:after="277" w:line="320" w:lineRule="atLeast"/>
        <w:outlineLvl w:val="2"/>
        <w:rPr>
          <w:rFonts w:ascii="Georgia" w:eastAsia="Times New Roman" w:hAnsi="Georgia" w:cs="Arial"/>
          <w:b/>
          <w:bCs/>
          <w:color w:val="002639"/>
          <w:sz w:val="28"/>
          <w:szCs w:val="28"/>
          <w:lang w:eastAsia="en-NZ"/>
        </w:rPr>
      </w:pPr>
      <w:r w:rsidRPr="007F1739">
        <w:rPr>
          <w:rFonts w:ascii="Georgia" w:eastAsia="Times New Roman" w:hAnsi="Georgia" w:cs="Arial"/>
          <w:b/>
          <w:bCs/>
          <w:color w:val="002639"/>
          <w:sz w:val="28"/>
          <w:szCs w:val="28"/>
          <w:lang w:eastAsia="en-NZ"/>
        </w:rPr>
        <w:t>2. Equity</w:t>
      </w:r>
    </w:p>
    <w:p w14:paraId="5E9DBA61"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In Aotearoa, people have differences in health that are not only avoidable, but unfair and unjust. Equity recognises different people with different levels of advantage require different approaches and resources to get equitable health outcomes. </w:t>
      </w:r>
    </w:p>
    <w:p w14:paraId="6403F5C0"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We have clearly identified priority population groups in the enhancements programme that are not currently well served by the system.</w:t>
      </w:r>
    </w:p>
    <w:p w14:paraId="06F7B0C7" w14:textId="698EDEF3"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The work with Te Tatau Kitenga and Te Rōpū Mātanga o Rangatahi has been the main channel for ensuring an equity focus. The leadership of the Ministry </w:t>
      </w:r>
      <w:r w:rsidR="00803B0B">
        <w:rPr>
          <w:rFonts w:ascii="Arial" w:eastAsia="Times New Roman" w:hAnsi="Arial" w:cs="Arial"/>
          <w:color w:val="002639"/>
          <w:sz w:val="20"/>
          <w:szCs w:val="20"/>
          <w:lang w:eastAsia="en-NZ"/>
        </w:rPr>
        <w:t xml:space="preserve">of Health </w:t>
      </w:r>
      <w:r w:rsidRPr="007F1739">
        <w:rPr>
          <w:rFonts w:ascii="Arial" w:eastAsia="Times New Roman" w:hAnsi="Arial" w:cs="Arial"/>
          <w:color w:val="002639"/>
          <w:sz w:val="20"/>
          <w:szCs w:val="20"/>
          <w:lang w:eastAsia="en-NZ"/>
        </w:rPr>
        <w:t xml:space="preserve">through </w:t>
      </w:r>
      <w:r w:rsidR="00803B0B">
        <w:rPr>
          <w:rFonts w:ascii="Arial" w:eastAsia="Times New Roman" w:hAnsi="Arial" w:cs="Arial"/>
          <w:color w:val="002639"/>
          <w:sz w:val="20"/>
          <w:szCs w:val="20"/>
          <w:lang w:eastAsia="en-NZ"/>
        </w:rPr>
        <w:t>their</w:t>
      </w:r>
      <w:r w:rsidR="00803B0B" w:rsidRPr="007F1739">
        <w:rPr>
          <w:rFonts w:ascii="Arial" w:eastAsia="Times New Roman" w:hAnsi="Arial" w:cs="Arial"/>
          <w:color w:val="002639"/>
          <w:sz w:val="20"/>
          <w:szCs w:val="20"/>
          <w:lang w:eastAsia="en-NZ"/>
        </w:rPr>
        <w:t> </w:t>
      </w:r>
      <w:hyperlink r:id="rId13" w:history="1">
        <w:r w:rsidRPr="007F1739">
          <w:rPr>
            <w:rFonts w:ascii="Arial" w:eastAsia="Times New Roman" w:hAnsi="Arial" w:cs="Arial"/>
            <w:color w:val="005D85"/>
            <w:sz w:val="20"/>
            <w:szCs w:val="20"/>
            <w:u w:val="single"/>
            <w:lang w:eastAsia="en-NZ"/>
          </w:rPr>
          <w:t>equity definition</w:t>
        </w:r>
      </w:hyperlink>
      <w:r w:rsidRPr="007F1739">
        <w:rPr>
          <w:rFonts w:ascii="Arial" w:eastAsia="Times New Roman" w:hAnsi="Arial" w:cs="Arial"/>
          <w:color w:val="002639"/>
          <w:sz w:val="20"/>
          <w:szCs w:val="20"/>
          <w:lang w:eastAsia="en-NZ"/>
        </w:rPr>
        <w:t>, and specific strategies for various populations groups (eg, </w:t>
      </w:r>
      <w:hyperlink r:id="rId14" w:history="1">
        <w:r w:rsidRPr="007F1739">
          <w:rPr>
            <w:rFonts w:ascii="Arial" w:eastAsia="Times New Roman" w:hAnsi="Arial" w:cs="Arial"/>
            <w:color w:val="005D85"/>
            <w:sz w:val="20"/>
            <w:szCs w:val="20"/>
            <w:u w:val="single"/>
            <w:lang w:eastAsia="en-NZ"/>
          </w:rPr>
          <w:t>Ola Manuia: Pacific Health and Wellbeing Action Plan</w:t>
        </w:r>
      </w:hyperlink>
      <w:r w:rsidRPr="007F1739">
        <w:rPr>
          <w:rFonts w:ascii="Arial" w:eastAsia="Times New Roman" w:hAnsi="Arial" w:cs="Arial"/>
          <w:color w:val="002639"/>
          <w:sz w:val="20"/>
          <w:szCs w:val="20"/>
          <w:lang w:eastAsia="en-NZ"/>
        </w:rPr>
        <w:t xml:space="preserve"> (2020–2025)) are very significant. </w:t>
      </w:r>
    </w:p>
    <w:p w14:paraId="67457697" w14:textId="77777777" w:rsidR="007F1739" w:rsidRPr="007F1739" w:rsidRDefault="007F1739" w:rsidP="007F1739">
      <w:pPr>
        <w:shd w:val="clear" w:color="auto" w:fill="FFFFFF"/>
        <w:spacing w:before="277" w:after="277" w:line="320" w:lineRule="atLeast"/>
        <w:outlineLvl w:val="2"/>
        <w:rPr>
          <w:rFonts w:ascii="Georgia" w:eastAsia="Times New Roman" w:hAnsi="Georgia" w:cs="Arial"/>
          <w:b/>
          <w:bCs/>
          <w:color w:val="002639"/>
          <w:sz w:val="28"/>
          <w:szCs w:val="28"/>
          <w:lang w:eastAsia="en-NZ"/>
        </w:rPr>
      </w:pPr>
      <w:r w:rsidRPr="007F1739">
        <w:rPr>
          <w:rFonts w:ascii="Georgia" w:eastAsia="Times New Roman" w:hAnsi="Georgia" w:cs="Arial"/>
          <w:b/>
          <w:bCs/>
          <w:color w:val="002639"/>
          <w:sz w:val="28"/>
          <w:szCs w:val="28"/>
          <w:lang w:eastAsia="en-NZ"/>
        </w:rPr>
        <w:t>3. Building relationships with stakeholders.</w:t>
      </w:r>
    </w:p>
    <w:p w14:paraId="6EE376D0" w14:textId="34D30D5D" w:rsidR="007F1739" w:rsidRDefault="00D90627" w:rsidP="007F1739">
      <w:pPr>
        <w:shd w:val="clear" w:color="auto" w:fill="FFFFFF"/>
        <w:spacing w:before="360" w:after="360"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Te Whatu Ora</w:t>
      </w:r>
      <w:r w:rsidDel="00D90627">
        <w:rPr>
          <w:rFonts w:ascii="Arial" w:eastAsia="Times New Roman" w:hAnsi="Arial" w:cs="Arial"/>
          <w:color w:val="002639"/>
          <w:sz w:val="20"/>
          <w:szCs w:val="20"/>
          <w:lang w:eastAsia="en-NZ"/>
        </w:rPr>
        <w:t xml:space="preserve"> </w:t>
      </w:r>
      <w:r w:rsidR="007F1739" w:rsidRPr="007F1739">
        <w:rPr>
          <w:rFonts w:ascii="Arial" w:eastAsia="Times New Roman" w:hAnsi="Arial" w:cs="Arial"/>
          <w:color w:val="002639"/>
          <w:sz w:val="20"/>
          <w:szCs w:val="20"/>
          <w:lang w:eastAsia="en-NZ"/>
        </w:rPr>
        <w:t xml:space="preserve">is committed to informing, </w:t>
      </w:r>
      <w:proofErr w:type="gramStart"/>
      <w:r w:rsidR="007F1739" w:rsidRPr="007F1739">
        <w:rPr>
          <w:rFonts w:ascii="Arial" w:eastAsia="Times New Roman" w:hAnsi="Arial" w:cs="Arial"/>
          <w:color w:val="002639"/>
          <w:sz w:val="20"/>
          <w:szCs w:val="20"/>
          <w:lang w:eastAsia="en-NZ"/>
        </w:rPr>
        <w:t>consulting</w:t>
      </w:r>
      <w:proofErr w:type="gramEnd"/>
      <w:r w:rsidR="007F1739" w:rsidRPr="007F1739">
        <w:rPr>
          <w:rFonts w:ascii="Arial" w:eastAsia="Times New Roman" w:hAnsi="Arial" w:cs="Arial"/>
          <w:color w:val="002639"/>
          <w:sz w:val="20"/>
          <w:szCs w:val="20"/>
          <w:lang w:eastAsia="en-NZ"/>
        </w:rPr>
        <w:t xml:space="preserve"> and collaborating with our stakeholders to achieve the purpose of the enhancements programme. Our approach is guided by</w:t>
      </w:r>
      <w:r>
        <w:rPr>
          <w:rFonts w:ascii="Arial" w:eastAsia="Times New Roman" w:hAnsi="Arial" w:cs="Arial"/>
          <w:color w:val="002639"/>
          <w:sz w:val="20"/>
          <w:szCs w:val="20"/>
          <w:lang w:eastAsia="en-NZ"/>
        </w:rPr>
        <w:t xml:space="preserve"> the</w:t>
      </w:r>
      <w:r w:rsidR="007F1739" w:rsidRPr="007F1739">
        <w:rPr>
          <w:rFonts w:ascii="Arial" w:eastAsia="Times New Roman" w:hAnsi="Arial" w:cs="Arial"/>
          <w:color w:val="002639"/>
          <w:sz w:val="20"/>
          <w:szCs w:val="20"/>
          <w:lang w:eastAsia="en-NZ"/>
        </w:rPr>
        <w:t> </w:t>
      </w:r>
      <w:hyperlink r:id="rId15" w:history="1">
        <w:r w:rsidR="007F1739" w:rsidRPr="007F1739">
          <w:rPr>
            <w:rFonts w:ascii="Arial" w:eastAsia="Times New Roman" w:hAnsi="Arial" w:cs="Arial"/>
            <w:color w:val="005D85"/>
            <w:sz w:val="20"/>
            <w:szCs w:val="20"/>
            <w:u w:val="single"/>
            <w:lang w:eastAsia="en-NZ"/>
          </w:rPr>
          <w:t>Te Arawhiti engagement framework</w:t>
        </w:r>
      </w:hyperlink>
      <w:r w:rsidR="007F1739" w:rsidRPr="007F1739">
        <w:rPr>
          <w:rFonts w:ascii="Arial" w:eastAsia="Times New Roman" w:hAnsi="Arial" w:cs="Arial"/>
          <w:color w:val="002639"/>
          <w:sz w:val="20"/>
          <w:szCs w:val="20"/>
          <w:lang w:eastAsia="en-NZ"/>
        </w:rPr>
        <w:t>.</w:t>
      </w:r>
    </w:p>
    <w:p w14:paraId="27520259"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Our stakeholder groups include:</w:t>
      </w:r>
    </w:p>
    <w:p w14:paraId="1030E2AE"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young people</w:t>
      </w:r>
    </w:p>
    <w:p w14:paraId="3E74F897"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whānau and community</w:t>
      </w:r>
    </w:p>
    <w:p w14:paraId="2871885B"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health service providers</w:t>
      </w:r>
    </w:p>
    <w:p w14:paraId="2688DA2F"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education service providers</w:t>
      </w:r>
    </w:p>
    <w:p w14:paraId="6B270FB8"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youth and social services</w:t>
      </w:r>
    </w:p>
    <w:p w14:paraId="5492ED18"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youth health workforce</w:t>
      </w:r>
    </w:p>
    <w:p w14:paraId="239E9740"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lastRenderedPageBreak/>
        <w:t>district health boards</w:t>
      </w:r>
    </w:p>
    <w:p w14:paraId="161D2A73"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Ministry of Education</w:t>
      </w:r>
    </w:p>
    <w:p w14:paraId="77F23A17"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Ministry of Health</w:t>
      </w:r>
    </w:p>
    <w:p w14:paraId="22AB8D07"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other government agencies</w:t>
      </w:r>
    </w:p>
    <w:p w14:paraId="2A4E0502" w14:textId="77777777" w:rsidR="007F1739" w:rsidRPr="007F1739" w:rsidRDefault="007F1739" w:rsidP="007F1739">
      <w:pPr>
        <w:numPr>
          <w:ilvl w:val="0"/>
          <w:numId w:val="6"/>
        </w:numPr>
        <w:shd w:val="clear" w:color="auto" w:fill="FFFFFF"/>
        <w:spacing w:before="100" w:beforeAutospacing="1" w:after="100" w:afterAutospacing="1"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research.</w:t>
      </w:r>
    </w:p>
    <w:p w14:paraId="0E22F1CD" w14:textId="77777777" w:rsidR="007F1739" w:rsidRPr="007F1739" w:rsidRDefault="007F1739" w:rsidP="007F1739">
      <w:pPr>
        <w:shd w:val="clear" w:color="auto" w:fill="FFFFFF"/>
        <w:spacing w:before="300" w:after="240" w:line="276" w:lineRule="atLeast"/>
        <w:outlineLvl w:val="1"/>
        <w:rPr>
          <w:rFonts w:ascii="Georgia" w:eastAsia="Times New Roman" w:hAnsi="Georgia" w:cs="Arial"/>
          <w:b/>
          <w:bCs/>
          <w:color w:val="002639"/>
          <w:sz w:val="37"/>
          <w:szCs w:val="37"/>
          <w:lang w:eastAsia="en-NZ"/>
        </w:rPr>
      </w:pPr>
      <w:bookmarkStart w:id="2" w:name="sixc"/>
      <w:bookmarkEnd w:id="2"/>
      <w:r w:rsidRPr="007F1739">
        <w:rPr>
          <w:rFonts w:ascii="Georgia" w:eastAsia="Times New Roman" w:hAnsi="Georgia" w:cs="Arial"/>
          <w:b/>
          <w:bCs/>
          <w:color w:val="002639"/>
          <w:sz w:val="37"/>
          <w:szCs w:val="37"/>
          <w:lang w:eastAsia="en-NZ"/>
        </w:rPr>
        <w:t>The six collaboration partners</w:t>
      </w:r>
    </w:p>
    <w:p w14:paraId="6DA2F14E"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Through stakeholder analysis we identified six collaboration/partners to support the ongoing development, </w:t>
      </w:r>
      <w:proofErr w:type="gramStart"/>
      <w:r w:rsidRPr="007F1739">
        <w:rPr>
          <w:rFonts w:ascii="Arial" w:eastAsia="Times New Roman" w:hAnsi="Arial" w:cs="Arial"/>
          <w:color w:val="002639"/>
          <w:sz w:val="20"/>
          <w:szCs w:val="20"/>
          <w:lang w:eastAsia="en-NZ"/>
        </w:rPr>
        <w:t>projects</w:t>
      </w:r>
      <w:proofErr w:type="gramEnd"/>
      <w:r w:rsidRPr="007F1739">
        <w:rPr>
          <w:rFonts w:ascii="Arial" w:eastAsia="Times New Roman" w:hAnsi="Arial" w:cs="Arial"/>
          <w:color w:val="002639"/>
          <w:sz w:val="20"/>
          <w:szCs w:val="20"/>
          <w:lang w:eastAsia="en-NZ"/>
        </w:rPr>
        <w:t xml:space="preserve"> and implementation of the Programme. We put in a huge amount of time and effort in building relationships with these partners because we recognise relationships as foundational to success. Our programme partners are:</w:t>
      </w:r>
    </w:p>
    <w:p w14:paraId="1F102125" w14:textId="77777777" w:rsidR="007F1739" w:rsidRPr="007F1739" w:rsidRDefault="007F1739" w:rsidP="007F1739">
      <w:pPr>
        <w:numPr>
          <w:ilvl w:val="0"/>
          <w:numId w:val="7"/>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Youth Advisory Group</w:t>
      </w:r>
    </w:p>
    <w:p w14:paraId="48D439D2" w14:textId="77777777" w:rsidR="007F1739" w:rsidRPr="007F1739" w:rsidRDefault="007F1739" w:rsidP="007F1739">
      <w:pPr>
        <w:numPr>
          <w:ilvl w:val="0"/>
          <w:numId w:val="7"/>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Te Tatau Kitenga and Te Rōpū Mātanga o Rangatahi</w:t>
      </w:r>
    </w:p>
    <w:p w14:paraId="70558272" w14:textId="77777777" w:rsidR="007F1739" w:rsidRPr="00824F21" w:rsidRDefault="007F1739" w:rsidP="00824F21">
      <w:pPr>
        <w:numPr>
          <w:ilvl w:val="0"/>
          <w:numId w:val="7"/>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3F6CC8">
        <w:rPr>
          <w:rFonts w:ascii="Arial" w:eastAsia="Times New Roman" w:hAnsi="Arial" w:cs="Arial"/>
          <w:color w:val="002639"/>
          <w:sz w:val="20"/>
          <w:szCs w:val="20"/>
          <w:lang w:eastAsia="en-NZ"/>
        </w:rPr>
        <w:t>Malatest International</w:t>
      </w:r>
    </w:p>
    <w:p w14:paraId="1B7A3984" w14:textId="77777777" w:rsidR="007F1739" w:rsidRPr="007F1739" w:rsidRDefault="007F1739" w:rsidP="007F1739">
      <w:pPr>
        <w:numPr>
          <w:ilvl w:val="0"/>
          <w:numId w:val="7"/>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Ministry of Education</w:t>
      </w:r>
    </w:p>
    <w:p w14:paraId="1AB6ADB2" w14:textId="77777777" w:rsidR="003F6CC8" w:rsidRDefault="007F1739" w:rsidP="007F1739">
      <w:pPr>
        <w:numPr>
          <w:ilvl w:val="0"/>
          <w:numId w:val="7"/>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Ministry of Health</w:t>
      </w:r>
    </w:p>
    <w:p w14:paraId="3AFD3839" w14:textId="1FB476F0" w:rsidR="007F1739" w:rsidRPr="007F1739" w:rsidRDefault="00277CC2" w:rsidP="007F1739">
      <w:pPr>
        <w:numPr>
          <w:ilvl w:val="0"/>
          <w:numId w:val="7"/>
        </w:numPr>
        <w:shd w:val="clear" w:color="auto" w:fill="FFFFFF"/>
        <w:spacing w:before="100" w:beforeAutospacing="1" w:after="100" w:afterAutospacing="1" w:line="240" w:lineRule="auto"/>
        <w:ind w:left="900"/>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Te Whatu Ora</w:t>
      </w:r>
      <w:r w:rsidR="005B7248">
        <w:rPr>
          <w:rFonts w:ascii="Arial" w:eastAsia="Times New Roman" w:hAnsi="Arial" w:cs="Arial"/>
          <w:color w:val="002639"/>
          <w:sz w:val="20"/>
          <w:szCs w:val="20"/>
          <w:lang w:eastAsia="en-NZ"/>
        </w:rPr>
        <w:t>-Health New Zealand</w:t>
      </w:r>
      <w:r w:rsidR="003F6CC8">
        <w:rPr>
          <w:rFonts w:ascii="Arial" w:eastAsia="Times New Roman" w:hAnsi="Arial" w:cs="Arial"/>
          <w:color w:val="002639"/>
          <w:sz w:val="20"/>
          <w:szCs w:val="20"/>
          <w:lang w:eastAsia="en-NZ"/>
        </w:rPr>
        <w:t>.</w:t>
      </w:r>
    </w:p>
    <w:p w14:paraId="1F62B02F" w14:textId="6176B58E"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We continue to develop and implement our planning and mahi through this partnership approach. Together, we </w:t>
      </w:r>
      <w:r w:rsidR="004606C8">
        <w:rPr>
          <w:rFonts w:ascii="Arial" w:eastAsia="Times New Roman" w:hAnsi="Arial" w:cs="Arial"/>
          <w:color w:val="002639"/>
          <w:sz w:val="20"/>
          <w:szCs w:val="20"/>
          <w:lang w:eastAsia="en-NZ"/>
        </w:rPr>
        <w:t>have built</w:t>
      </w:r>
      <w:r w:rsidRPr="007F1739">
        <w:rPr>
          <w:rFonts w:ascii="Arial" w:eastAsia="Times New Roman" w:hAnsi="Arial" w:cs="Arial"/>
          <w:color w:val="002639"/>
          <w:sz w:val="20"/>
          <w:szCs w:val="20"/>
          <w:lang w:eastAsia="en-NZ"/>
        </w:rPr>
        <w:t xml:space="preserve"> an overall plan for the development and implementation of the enhancements within the five-year time frame (2020 – 2024). The collaborative relationship between partners will be maintained to ensure cohesion and consistency across the development and implementation of enhancements to SBHS.</w:t>
      </w:r>
    </w:p>
    <w:p w14:paraId="280DCDDF"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To achieve better outcomes, it is important that youth, whānau, equity, strengths based and mana enhancing approaches are central to the mahi.</w:t>
      </w:r>
    </w:p>
    <w:p w14:paraId="349FB2D6" w14:textId="77777777" w:rsidR="007F1739" w:rsidRPr="007F1739" w:rsidRDefault="007F1739" w:rsidP="007F1739">
      <w:pPr>
        <w:shd w:val="clear" w:color="auto" w:fill="FFFFFF"/>
        <w:spacing w:before="277" w:after="277" w:line="320" w:lineRule="atLeast"/>
        <w:outlineLvl w:val="2"/>
        <w:rPr>
          <w:rFonts w:ascii="Georgia" w:eastAsia="Times New Roman" w:hAnsi="Georgia" w:cs="Arial"/>
          <w:b/>
          <w:bCs/>
          <w:color w:val="002639"/>
          <w:sz w:val="28"/>
          <w:szCs w:val="28"/>
          <w:lang w:eastAsia="en-NZ"/>
        </w:rPr>
      </w:pPr>
      <w:r w:rsidRPr="007F1739">
        <w:rPr>
          <w:rFonts w:ascii="Georgia" w:eastAsia="Times New Roman" w:hAnsi="Georgia" w:cs="Arial"/>
          <w:b/>
          <w:bCs/>
          <w:color w:val="002639"/>
          <w:sz w:val="28"/>
          <w:szCs w:val="28"/>
          <w:lang w:eastAsia="en-NZ"/>
        </w:rPr>
        <w:t>The partners</w:t>
      </w:r>
    </w:p>
    <w:p w14:paraId="6D9C98E0" w14:textId="221FE919"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The Youth Advisory Group</w:t>
      </w:r>
    </w:p>
    <w:p w14:paraId="2BA1C11D"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Young people are the primary stakeholders for the enhancements programme, especially those in population groups currently not well served by the system.</w:t>
      </w:r>
    </w:p>
    <w:p w14:paraId="777A3333"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The views, </w:t>
      </w:r>
      <w:proofErr w:type="gramStart"/>
      <w:r w:rsidRPr="007F1739">
        <w:rPr>
          <w:rFonts w:ascii="Arial" w:eastAsia="Times New Roman" w:hAnsi="Arial" w:cs="Arial"/>
          <w:color w:val="002639"/>
          <w:sz w:val="20"/>
          <w:szCs w:val="20"/>
          <w:lang w:eastAsia="en-NZ"/>
        </w:rPr>
        <w:t>experiences</w:t>
      </w:r>
      <w:proofErr w:type="gramEnd"/>
      <w:r w:rsidRPr="007F1739">
        <w:rPr>
          <w:rFonts w:ascii="Arial" w:eastAsia="Times New Roman" w:hAnsi="Arial" w:cs="Arial"/>
          <w:color w:val="002639"/>
          <w:sz w:val="20"/>
          <w:szCs w:val="20"/>
          <w:lang w:eastAsia="en-NZ"/>
        </w:rPr>
        <w:t xml:space="preserve"> and perspectives of young people, whānau and the wider community are vital to helping us create a valued service that genuinely contributes to the lifelong wellbeing of young people.</w:t>
      </w:r>
    </w:p>
    <w:p w14:paraId="260B182D" w14:textId="3D3E15C3"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To ensure we achieve the benefits of the enhancements programme for youth, we will deliberately seek and act on the voices of our priority young people across all levels of the decision making and implementation process.</w:t>
      </w:r>
    </w:p>
    <w:p w14:paraId="12AB3883" w14:textId="4B10B1C6"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More information on the </w:t>
      </w:r>
      <w:hyperlink r:id="rId16" w:history="1">
        <w:r w:rsidRPr="004C52A3">
          <w:rPr>
            <w:rStyle w:val="Hyperlink"/>
            <w:rFonts w:ascii="Arial" w:eastAsia="Times New Roman" w:hAnsi="Arial" w:cs="Arial"/>
            <w:sz w:val="20"/>
            <w:szCs w:val="20"/>
            <w:lang w:eastAsia="en-NZ"/>
          </w:rPr>
          <w:t xml:space="preserve"> Youth Advisory Group</w:t>
        </w:r>
      </w:hyperlink>
      <w:r w:rsidRPr="007F1739">
        <w:rPr>
          <w:rFonts w:ascii="Arial" w:eastAsia="Times New Roman" w:hAnsi="Arial" w:cs="Arial"/>
          <w:color w:val="002639"/>
          <w:sz w:val="20"/>
          <w:szCs w:val="20"/>
          <w:lang w:eastAsia="en-NZ"/>
        </w:rPr>
        <w:t>.</w:t>
      </w:r>
    </w:p>
    <w:p w14:paraId="4DA3BBFA"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Te Tatau Kitenga</w:t>
      </w:r>
    </w:p>
    <w:p w14:paraId="1D6F3D1D" w14:textId="145BB59B"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Te Tatau Kitenga was established in February 2020. Te Tatau Kitenga </w:t>
      </w:r>
      <w:r w:rsidR="00FF1232">
        <w:rPr>
          <w:rFonts w:ascii="Arial" w:eastAsia="Times New Roman" w:hAnsi="Arial" w:cs="Arial"/>
          <w:color w:val="002639"/>
          <w:sz w:val="20"/>
          <w:szCs w:val="20"/>
          <w:lang w:eastAsia="en-NZ"/>
        </w:rPr>
        <w:t>provided</w:t>
      </w:r>
      <w:r w:rsidRPr="007F1739">
        <w:rPr>
          <w:rFonts w:ascii="Arial" w:eastAsia="Times New Roman" w:hAnsi="Arial" w:cs="Arial"/>
          <w:color w:val="002639"/>
          <w:sz w:val="20"/>
          <w:szCs w:val="20"/>
          <w:lang w:eastAsia="en-NZ"/>
        </w:rPr>
        <w:t xml:space="preserve"> recommendations to the Ministry</w:t>
      </w:r>
      <w:r w:rsidR="00484517">
        <w:rPr>
          <w:rFonts w:ascii="Arial" w:eastAsia="Times New Roman" w:hAnsi="Arial" w:cs="Arial"/>
          <w:color w:val="002639"/>
          <w:sz w:val="20"/>
          <w:szCs w:val="20"/>
          <w:lang w:eastAsia="en-NZ"/>
        </w:rPr>
        <w:t xml:space="preserve"> of Health</w:t>
      </w:r>
      <w:r w:rsidRPr="007F1739">
        <w:rPr>
          <w:rFonts w:ascii="Arial" w:eastAsia="Times New Roman" w:hAnsi="Arial" w:cs="Arial"/>
          <w:color w:val="002639"/>
          <w:sz w:val="20"/>
          <w:szCs w:val="20"/>
          <w:lang w:eastAsia="en-NZ"/>
        </w:rPr>
        <w:t xml:space="preserve"> on what an extended and enhanced model of SBHS should look like for the young people of Aotearoa, and the steps needed for the appropriate implementation of the </w:t>
      </w:r>
      <w:r w:rsidRPr="007F1739">
        <w:rPr>
          <w:rFonts w:ascii="Arial" w:eastAsia="Times New Roman" w:hAnsi="Arial" w:cs="Arial"/>
          <w:color w:val="002639"/>
          <w:sz w:val="20"/>
          <w:szCs w:val="20"/>
          <w:lang w:eastAsia="en-NZ"/>
        </w:rPr>
        <w:lastRenderedPageBreak/>
        <w:t>enhancements.</w:t>
      </w:r>
      <w:r w:rsidR="00FF1232">
        <w:rPr>
          <w:rFonts w:ascii="Arial" w:eastAsia="Times New Roman" w:hAnsi="Arial" w:cs="Arial"/>
          <w:color w:val="002639"/>
          <w:sz w:val="20"/>
          <w:szCs w:val="20"/>
          <w:lang w:eastAsia="en-NZ"/>
        </w:rPr>
        <w:t xml:space="preserve"> Te Tatau Kitenga </w:t>
      </w:r>
      <w:r w:rsidR="00547652">
        <w:rPr>
          <w:rFonts w:ascii="Arial" w:eastAsia="Times New Roman" w:hAnsi="Arial" w:cs="Arial"/>
          <w:color w:val="002639"/>
          <w:sz w:val="20"/>
          <w:szCs w:val="20"/>
          <w:lang w:eastAsia="en-NZ"/>
        </w:rPr>
        <w:t xml:space="preserve">has an ongoing role to advise and support </w:t>
      </w:r>
      <w:r w:rsidR="00C84344">
        <w:rPr>
          <w:rFonts w:ascii="Arial" w:eastAsia="Times New Roman" w:hAnsi="Arial" w:cs="Arial"/>
          <w:color w:val="002639"/>
          <w:sz w:val="20"/>
          <w:szCs w:val="20"/>
          <w:lang w:eastAsia="en-NZ"/>
        </w:rPr>
        <w:t>the</w:t>
      </w:r>
      <w:r w:rsidR="00547652">
        <w:rPr>
          <w:rFonts w:ascii="Arial" w:eastAsia="Times New Roman" w:hAnsi="Arial" w:cs="Arial"/>
          <w:color w:val="002639"/>
          <w:sz w:val="20"/>
          <w:szCs w:val="20"/>
          <w:lang w:eastAsia="en-NZ"/>
        </w:rPr>
        <w:t xml:space="preserve"> </w:t>
      </w:r>
      <w:r w:rsidR="00C84344" w:rsidRPr="007F1739">
        <w:rPr>
          <w:rFonts w:ascii="Arial" w:eastAsia="Times New Roman" w:hAnsi="Arial" w:cs="Arial"/>
          <w:color w:val="002639"/>
          <w:sz w:val="20"/>
          <w:szCs w:val="20"/>
          <w:lang w:eastAsia="en-NZ"/>
        </w:rPr>
        <w:t>plan for development and implementation of the enhancements</w:t>
      </w:r>
      <w:r w:rsidR="00C84344">
        <w:rPr>
          <w:rFonts w:ascii="Arial" w:eastAsia="Times New Roman" w:hAnsi="Arial" w:cs="Arial"/>
          <w:color w:val="002639"/>
          <w:sz w:val="20"/>
          <w:szCs w:val="20"/>
          <w:lang w:eastAsia="en-NZ"/>
        </w:rPr>
        <w:t>.</w:t>
      </w:r>
    </w:p>
    <w:p w14:paraId="4F884C76" w14:textId="0CA8533B" w:rsid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Te Rōpū Mātanga o Rangatahi</w:t>
      </w:r>
      <w:r w:rsidR="004C52A3">
        <w:rPr>
          <w:rFonts w:ascii="Arial" w:eastAsia="Times New Roman" w:hAnsi="Arial" w:cs="Arial"/>
          <w:color w:val="002639"/>
          <w:sz w:val="20"/>
          <w:szCs w:val="20"/>
          <w:lang w:eastAsia="en-NZ"/>
        </w:rPr>
        <w:t xml:space="preserve"> is the</w:t>
      </w:r>
      <w:r w:rsidRPr="007F1739">
        <w:rPr>
          <w:rFonts w:ascii="Arial" w:eastAsia="Times New Roman" w:hAnsi="Arial" w:cs="Arial"/>
          <w:color w:val="002639"/>
          <w:sz w:val="20"/>
          <w:szCs w:val="20"/>
          <w:lang w:eastAsia="en-NZ"/>
        </w:rPr>
        <w:t xml:space="preserve"> partner group to Te Tatau Kitenga </w:t>
      </w:r>
      <w:r w:rsidR="004C52A3">
        <w:rPr>
          <w:rFonts w:ascii="Arial" w:eastAsia="Times New Roman" w:hAnsi="Arial" w:cs="Arial"/>
          <w:color w:val="002639"/>
          <w:sz w:val="20"/>
          <w:szCs w:val="20"/>
          <w:lang w:eastAsia="en-NZ"/>
        </w:rPr>
        <w:t xml:space="preserve">and </w:t>
      </w:r>
      <w:r w:rsidRPr="007F1739">
        <w:rPr>
          <w:rFonts w:ascii="Arial" w:eastAsia="Times New Roman" w:hAnsi="Arial" w:cs="Arial"/>
          <w:color w:val="002639"/>
          <w:sz w:val="20"/>
          <w:szCs w:val="20"/>
          <w:lang w:eastAsia="en-NZ"/>
        </w:rPr>
        <w:t xml:space="preserve">developed </w:t>
      </w:r>
      <w:r w:rsidR="004C52A3">
        <w:rPr>
          <w:rFonts w:ascii="Arial" w:eastAsia="Times New Roman" w:hAnsi="Arial" w:cs="Arial"/>
          <w:color w:val="002639"/>
          <w:sz w:val="20"/>
          <w:szCs w:val="20"/>
          <w:lang w:eastAsia="en-NZ"/>
        </w:rPr>
        <w:t>Te Ūkaipō</w:t>
      </w:r>
      <w:r w:rsidRPr="007F1739">
        <w:rPr>
          <w:rFonts w:ascii="Arial" w:eastAsia="Times New Roman" w:hAnsi="Arial" w:cs="Arial"/>
          <w:color w:val="002639"/>
          <w:sz w:val="20"/>
          <w:szCs w:val="20"/>
          <w:lang w:eastAsia="en-NZ"/>
        </w:rPr>
        <w:t>.</w:t>
      </w:r>
    </w:p>
    <w:p w14:paraId="308DAE2A" w14:textId="6EB5F56F" w:rsidR="00DC40A5" w:rsidRPr="00DC40A5" w:rsidRDefault="00DC40A5" w:rsidP="007F1739">
      <w:pPr>
        <w:shd w:val="clear" w:color="auto" w:fill="FFFFFF"/>
        <w:spacing w:before="360" w:after="360" w:line="240" w:lineRule="auto"/>
        <w:rPr>
          <w:rFonts w:ascii="Arial" w:eastAsia="Times New Roman" w:hAnsi="Arial" w:cs="Arial"/>
          <w:color w:val="002639"/>
          <w:sz w:val="20"/>
          <w:szCs w:val="20"/>
          <w:lang w:eastAsia="en-NZ"/>
        </w:rPr>
      </w:pPr>
      <w:r w:rsidRPr="005F2E54">
        <w:rPr>
          <w:rFonts w:ascii="Arial" w:hAnsi="Arial" w:cs="Arial"/>
          <w:sz w:val="20"/>
          <w:szCs w:val="20"/>
        </w:rPr>
        <w:t>Together the partnership has considered Te Ūkaipō and the discussion document and developed the enhancements work programme described above.</w:t>
      </w:r>
    </w:p>
    <w:p w14:paraId="3AEA3D49"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Follow the link for </w:t>
      </w:r>
      <w:hyperlink r:id="rId17" w:history="1">
        <w:r w:rsidRPr="007F1739">
          <w:rPr>
            <w:rFonts w:ascii="Arial" w:eastAsia="Times New Roman" w:hAnsi="Arial" w:cs="Arial"/>
            <w:color w:val="005D85"/>
            <w:sz w:val="20"/>
            <w:szCs w:val="20"/>
            <w:u w:val="single"/>
            <w:lang w:eastAsia="en-NZ"/>
          </w:rPr>
          <w:t>more information on Te Tatau Kitenga</w:t>
        </w:r>
      </w:hyperlink>
      <w:r w:rsidRPr="007F1739">
        <w:rPr>
          <w:rFonts w:ascii="Arial" w:eastAsia="Times New Roman" w:hAnsi="Arial" w:cs="Arial"/>
          <w:color w:val="002639"/>
          <w:sz w:val="20"/>
          <w:szCs w:val="20"/>
          <w:lang w:eastAsia="en-NZ"/>
        </w:rPr>
        <w:t>.</w:t>
      </w:r>
    </w:p>
    <w:p w14:paraId="60631DA4"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Evaluation and quality improvement provider (Malatest international)</w:t>
      </w:r>
    </w:p>
    <w:p w14:paraId="55750A7F"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 xml:space="preserve">The objective of the evaluation is to ensure that the SBHS is contributing to improving health outcomes of young people and achieving equity. This includes setting the standard for equitable, </w:t>
      </w:r>
      <w:proofErr w:type="gramStart"/>
      <w:r w:rsidRPr="007F1739">
        <w:rPr>
          <w:rFonts w:ascii="Arial" w:eastAsia="Times New Roman" w:hAnsi="Arial" w:cs="Arial"/>
          <w:color w:val="002639"/>
          <w:sz w:val="20"/>
          <w:szCs w:val="20"/>
          <w:lang w:eastAsia="en-NZ"/>
        </w:rPr>
        <w:t>effective</w:t>
      </w:r>
      <w:proofErr w:type="gramEnd"/>
      <w:r w:rsidRPr="007F1739">
        <w:rPr>
          <w:rFonts w:ascii="Arial" w:eastAsia="Times New Roman" w:hAnsi="Arial" w:cs="Arial"/>
          <w:color w:val="002639"/>
          <w:sz w:val="20"/>
          <w:szCs w:val="20"/>
          <w:lang w:eastAsia="en-NZ"/>
        </w:rPr>
        <w:t xml:space="preserve"> and efficient SBHS, and driving quality improvement to further build the evidence base for investment in and implementation of SBHS.</w:t>
      </w:r>
    </w:p>
    <w:p w14:paraId="062095E3" w14:textId="77777777" w:rsidR="007F1739" w:rsidRP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For more information see </w:t>
      </w:r>
      <w:hyperlink r:id="rId18" w:history="1">
        <w:r w:rsidRPr="007F1739">
          <w:rPr>
            <w:rFonts w:ascii="Arial" w:eastAsia="Times New Roman" w:hAnsi="Arial" w:cs="Arial"/>
            <w:color w:val="005D85"/>
            <w:sz w:val="20"/>
            <w:szCs w:val="20"/>
            <w:u w:val="single"/>
            <w:lang w:eastAsia="en-NZ"/>
          </w:rPr>
          <w:t>School Based Health Services evaluation</w:t>
        </w:r>
      </w:hyperlink>
      <w:r w:rsidRPr="007F1739">
        <w:rPr>
          <w:rFonts w:ascii="Arial" w:eastAsia="Times New Roman" w:hAnsi="Arial" w:cs="Arial"/>
          <w:color w:val="002639"/>
          <w:sz w:val="20"/>
          <w:szCs w:val="20"/>
          <w:lang w:eastAsia="en-NZ"/>
        </w:rPr>
        <w:t>.</w:t>
      </w:r>
    </w:p>
    <w:p w14:paraId="2B22E096" w14:textId="77777777" w:rsidR="007F1739" w:rsidRPr="007F1739" w:rsidRDefault="007F1739"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sidRPr="007F1739">
        <w:rPr>
          <w:rFonts w:ascii="Georgia" w:eastAsia="Times New Roman" w:hAnsi="Georgia" w:cs="Arial"/>
          <w:color w:val="002639"/>
          <w:sz w:val="29"/>
          <w:szCs w:val="29"/>
          <w:lang w:eastAsia="en-NZ"/>
        </w:rPr>
        <w:t>Ministry of Education</w:t>
      </w:r>
    </w:p>
    <w:p w14:paraId="740E9A07" w14:textId="60B648F0" w:rsidR="007F1739" w:rsidRDefault="007F1739" w:rsidP="007F1739">
      <w:pPr>
        <w:shd w:val="clear" w:color="auto" w:fill="FFFFFF"/>
        <w:spacing w:before="360" w:after="36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The Ministry of Education is the kaitiaki of the education system, which is the setting for SBHS delivery. The </w:t>
      </w:r>
      <w:hyperlink r:id="rId19" w:history="1">
        <w:r w:rsidRPr="007F1739">
          <w:rPr>
            <w:rFonts w:ascii="Arial" w:eastAsia="Times New Roman" w:hAnsi="Arial" w:cs="Arial"/>
            <w:color w:val="005D85"/>
            <w:sz w:val="20"/>
            <w:szCs w:val="20"/>
            <w:u w:val="single"/>
            <w:lang w:eastAsia="en-NZ"/>
          </w:rPr>
          <w:t>Learning Support Delivery Model</w:t>
        </w:r>
      </w:hyperlink>
      <w:r w:rsidRPr="007F1739">
        <w:rPr>
          <w:rFonts w:ascii="Arial" w:eastAsia="Times New Roman" w:hAnsi="Arial" w:cs="Arial"/>
          <w:color w:val="002639"/>
          <w:sz w:val="20"/>
          <w:szCs w:val="20"/>
          <w:lang w:eastAsia="en-NZ"/>
        </w:rPr>
        <w:t> and </w:t>
      </w:r>
      <w:hyperlink r:id="rId20" w:history="1">
        <w:r w:rsidRPr="007F1739">
          <w:rPr>
            <w:rFonts w:ascii="Arial" w:eastAsia="Times New Roman" w:hAnsi="Arial" w:cs="Arial"/>
            <w:color w:val="005D85"/>
            <w:sz w:val="20"/>
            <w:szCs w:val="20"/>
            <w:u w:val="single"/>
            <w:lang w:eastAsia="en-NZ"/>
          </w:rPr>
          <w:t>Action Plan 2019–2025</w:t>
        </w:r>
      </w:hyperlink>
      <w:r w:rsidRPr="007F1739">
        <w:rPr>
          <w:rFonts w:ascii="Arial" w:eastAsia="Times New Roman" w:hAnsi="Arial" w:cs="Arial"/>
          <w:color w:val="002639"/>
          <w:sz w:val="20"/>
          <w:szCs w:val="20"/>
          <w:lang w:eastAsia="en-NZ"/>
        </w:rPr>
        <w:t> and the </w:t>
      </w:r>
      <w:hyperlink r:id="rId21" w:history="1">
        <w:r w:rsidRPr="007F1739">
          <w:rPr>
            <w:rFonts w:ascii="Arial" w:eastAsia="Times New Roman" w:hAnsi="Arial" w:cs="Arial"/>
            <w:color w:val="005D85"/>
            <w:sz w:val="20"/>
            <w:szCs w:val="20"/>
            <w:u w:val="single"/>
            <w:lang w:eastAsia="en-NZ"/>
          </w:rPr>
          <w:t>National Education and Learning Priorities</w:t>
        </w:r>
      </w:hyperlink>
      <w:r w:rsidRPr="007F1739">
        <w:rPr>
          <w:rFonts w:ascii="Arial" w:eastAsia="Times New Roman" w:hAnsi="Arial" w:cs="Arial"/>
          <w:color w:val="002639"/>
          <w:sz w:val="20"/>
          <w:szCs w:val="20"/>
          <w:lang w:eastAsia="en-NZ"/>
        </w:rPr>
        <w:t> provide an opportunity for greater cross sector collaboration.</w:t>
      </w:r>
    </w:p>
    <w:p w14:paraId="26440696" w14:textId="22B18F8F" w:rsidR="003F6CC8" w:rsidRPr="007F1739" w:rsidRDefault="003F6CC8" w:rsidP="003F6CC8">
      <w:pPr>
        <w:shd w:val="clear" w:color="auto" w:fill="FFFFFF"/>
        <w:spacing w:before="327" w:after="327" w:line="288" w:lineRule="atLeast"/>
        <w:outlineLvl w:val="3"/>
        <w:rPr>
          <w:rFonts w:ascii="Georgia" w:eastAsia="Times New Roman" w:hAnsi="Georgia" w:cs="Arial"/>
          <w:color w:val="002639"/>
          <w:sz w:val="29"/>
          <w:szCs w:val="29"/>
          <w:lang w:eastAsia="en-NZ"/>
        </w:rPr>
      </w:pPr>
      <w:r>
        <w:rPr>
          <w:rFonts w:ascii="Georgia" w:eastAsia="Times New Roman" w:hAnsi="Georgia" w:cs="Arial"/>
          <w:color w:val="002639"/>
          <w:sz w:val="29"/>
          <w:szCs w:val="29"/>
          <w:lang w:eastAsia="en-NZ"/>
        </w:rPr>
        <w:t>Ministry of Health</w:t>
      </w:r>
    </w:p>
    <w:p w14:paraId="4C190BFC" w14:textId="35BCF000" w:rsidR="003F6CC8" w:rsidRPr="007F1739" w:rsidRDefault="003F6CC8" w:rsidP="007F1739">
      <w:pPr>
        <w:shd w:val="clear" w:color="auto" w:fill="FFFFFF"/>
        <w:spacing w:before="360" w:after="360"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The Ministry of Health</w:t>
      </w:r>
      <w:r w:rsidR="00C66BEB">
        <w:rPr>
          <w:rFonts w:ascii="Arial" w:eastAsia="Times New Roman" w:hAnsi="Arial" w:cs="Arial"/>
          <w:color w:val="002639"/>
          <w:sz w:val="20"/>
          <w:szCs w:val="20"/>
          <w:lang w:eastAsia="en-NZ"/>
        </w:rPr>
        <w:t xml:space="preserve"> is an important partner in the SBHS enhancements programme as it</w:t>
      </w:r>
      <w:r w:rsidR="007806FD" w:rsidRPr="007806FD">
        <w:t xml:space="preserve"> </w:t>
      </w:r>
      <w:r w:rsidR="007806FD" w:rsidRPr="007806FD">
        <w:rPr>
          <w:rFonts w:ascii="Arial" w:eastAsia="Times New Roman" w:hAnsi="Arial" w:cs="Arial"/>
          <w:color w:val="002639"/>
          <w:sz w:val="20"/>
          <w:szCs w:val="20"/>
          <w:lang w:eastAsia="en-NZ"/>
        </w:rPr>
        <w:t>lead</w:t>
      </w:r>
      <w:r w:rsidR="007806FD">
        <w:rPr>
          <w:rFonts w:ascii="Arial" w:eastAsia="Times New Roman" w:hAnsi="Arial" w:cs="Arial"/>
          <w:color w:val="002639"/>
          <w:sz w:val="20"/>
          <w:szCs w:val="20"/>
          <w:lang w:eastAsia="en-NZ"/>
        </w:rPr>
        <w:t>s</w:t>
      </w:r>
      <w:r w:rsidR="007806FD" w:rsidRPr="007806FD">
        <w:rPr>
          <w:rFonts w:ascii="Arial" w:eastAsia="Times New Roman" w:hAnsi="Arial" w:cs="Arial"/>
          <w:color w:val="002639"/>
          <w:sz w:val="20"/>
          <w:szCs w:val="20"/>
          <w:lang w:eastAsia="en-NZ"/>
        </w:rPr>
        <w:t xml:space="preserve"> the </w:t>
      </w:r>
      <w:r w:rsidR="007806FD">
        <w:rPr>
          <w:rFonts w:ascii="Arial" w:eastAsia="Times New Roman" w:hAnsi="Arial" w:cs="Arial"/>
          <w:color w:val="002639"/>
          <w:sz w:val="20"/>
          <w:szCs w:val="20"/>
          <w:lang w:eastAsia="en-NZ"/>
        </w:rPr>
        <w:t xml:space="preserve">health </w:t>
      </w:r>
      <w:r w:rsidR="007806FD" w:rsidRPr="007806FD">
        <w:rPr>
          <w:rFonts w:ascii="Arial" w:eastAsia="Times New Roman" w:hAnsi="Arial" w:cs="Arial"/>
          <w:color w:val="002639"/>
          <w:sz w:val="20"/>
          <w:szCs w:val="20"/>
          <w:lang w:eastAsia="en-NZ"/>
        </w:rPr>
        <w:t>system in its role as kaitiaki, ensuring good evidence informs strategy and policy development</w:t>
      </w:r>
      <w:r w:rsidR="00C66BEB">
        <w:rPr>
          <w:rFonts w:ascii="Arial" w:eastAsia="Times New Roman" w:hAnsi="Arial" w:cs="Arial"/>
          <w:color w:val="002639"/>
          <w:sz w:val="20"/>
          <w:szCs w:val="20"/>
          <w:lang w:eastAsia="en-NZ"/>
        </w:rPr>
        <w:t>.</w:t>
      </w:r>
    </w:p>
    <w:p w14:paraId="6F37FFF1" w14:textId="09193A69" w:rsidR="007F1739" w:rsidRPr="007F1739" w:rsidRDefault="005B7248" w:rsidP="007F1739">
      <w:pPr>
        <w:shd w:val="clear" w:color="auto" w:fill="FFFFFF"/>
        <w:spacing w:before="327" w:after="327" w:line="288" w:lineRule="atLeast"/>
        <w:outlineLvl w:val="3"/>
        <w:rPr>
          <w:rFonts w:ascii="Georgia" w:eastAsia="Times New Roman" w:hAnsi="Georgia" w:cs="Arial"/>
          <w:color w:val="002639"/>
          <w:sz w:val="29"/>
          <w:szCs w:val="29"/>
          <w:lang w:eastAsia="en-NZ"/>
        </w:rPr>
      </w:pPr>
      <w:r>
        <w:rPr>
          <w:rFonts w:ascii="Georgia" w:eastAsia="Times New Roman" w:hAnsi="Georgia" w:cs="Arial"/>
          <w:color w:val="002639"/>
          <w:sz w:val="29"/>
          <w:szCs w:val="29"/>
          <w:lang w:eastAsia="en-NZ"/>
        </w:rPr>
        <w:t>Te Whatu Ora</w:t>
      </w:r>
      <w:r w:rsidR="005F2E54">
        <w:rPr>
          <w:rFonts w:ascii="Georgia" w:eastAsia="Times New Roman" w:hAnsi="Georgia" w:cs="Arial"/>
          <w:color w:val="002639"/>
          <w:sz w:val="29"/>
          <w:szCs w:val="29"/>
          <w:lang w:eastAsia="en-NZ"/>
        </w:rPr>
        <w:t xml:space="preserve"> </w:t>
      </w:r>
      <w:r>
        <w:rPr>
          <w:rFonts w:ascii="Georgia" w:eastAsia="Times New Roman" w:hAnsi="Georgia" w:cs="Arial"/>
          <w:color w:val="002639"/>
          <w:sz w:val="29"/>
          <w:szCs w:val="29"/>
          <w:lang w:eastAsia="en-NZ"/>
        </w:rPr>
        <w:t>-</w:t>
      </w:r>
      <w:r w:rsidR="005F2E54">
        <w:rPr>
          <w:rFonts w:ascii="Georgia" w:eastAsia="Times New Roman" w:hAnsi="Georgia" w:cs="Arial"/>
          <w:color w:val="002639"/>
          <w:sz w:val="29"/>
          <w:szCs w:val="29"/>
          <w:lang w:eastAsia="en-NZ"/>
        </w:rPr>
        <w:t xml:space="preserve"> </w:t>
      </w:r>
      <w:r w:rsidR="003F6CC8">
        <w:rPr>
          <w:rFonts w:ascii="Georgia" w:eastAsia="Times New Roman" w:hAnsi="Georgia" w:cs="Arial"/>
          <w:color w:val="002639"/>
          <w:sz w:val="29"/>
          <w:szCs w:val="29"/>
          <w:lang w:eastAsia="en-NZ"/>
        </w:rPr>
        <w:t>Health New Zealand</w:t>
      </w:r>
    </w:p>
    <w:p w14:paraId="5262B510" w14:textId="117B934F" w:rsidR="007F1739" w:rsidRPr="007F1739" w:rsidRDefault="003F6CC8" w:rsidP="007F1739">
      <w:pPr>
        <w:shd w:val="clear" w:color="auto" w:fill="FFFFFF"/>
        <w:spacing w:before="360" w:after="360" w:line="240" w:lineRule="auto"/>
        <w:rPr>
          <w:rFonts w:ascii="Arial" w:eastAsia="Times New Roman" w:hAnsi="Arial" w:cs="Arial"/>
          <w:color w:val="002639"/>
          <w:sz w:val="20"/>
          <w:szCs w:val="20"/>
          <w:lang w:eastAsia="en-NZ"/>
        </w:rPr>
      </w:pPr>
      <w:r>
        <w:rPr>
          <w:rFonts w:ascii="Arial" w:eastAsia="Times New Roman" w:hAnsi="Arial" w:cs="Arial"/>
          <w:color w:val="002639"/>
          <w:sz w:val="20"/>
          <w:szCs w:val="20"/>
          <w:lang w:eastAsia="en-NZ"/>
        </w:rPr>
        <w:t xml:space="preserve">Health New Zealand </w:t>
      </w:r>
      <w:r w:rsidR="007F1739" w:rsidRPr="007F1739">
        <w:rPr>
          <w:rFonts w:ascii="Arial" w:eastAsia="Times New Roman" w:hAnsi="Arial" w:cs="Arial"/>
          <w:color w:val="002639"/>
          <w:sz w:val="20"/>
          <w:szCs w:val="20"/>
          <w:lang w:eastAsia="en-NZ"/>
        </w:rPr>
        <w:t>is responsible for leading the programme in collaboration with its partners.</w:t>
      </w:r>
    </w:p>
    <w:p w14:paraId="2FC91209" w14:textId="77777777" w:rsidR="007F1739" w:rsidRPr="007F1739" w:rsidRDefault="007F1739" w:rsidP="007F1739">
      <w:pPr>
        <w:shd w:val="clear" w:color="auto" w:fill="FFFFFF"/>
        <w:spacing w:before="300" w:after="240" w:line="276" w:lineRule="atLeast"/>
        <w:outlineLvl w:val="1"/>
        <w:rPr>
          <w:rFonts w:ascii="Georgia" w:eastAsia="Times New Roman" w:hAnsi="Georgia" w:cs="Arial"/>
          <w:b/>
          <w:bCs/>
          <w:color w:val="002639"/>
          <w:sz w:val="37"/>
          <w:szCs w:val="37"/>
          <w:lang w:eastAsia="en-NZ"/>
        </w:rPr>
      </w:pPr>
      <w:bookmarkStart w:id="3" w:name="updates"/>
      <w:bookmarkEnd w:id="3"/>
      <w:r w:rsidRPr="007F1739">
        <w:rPr>
          <w:rFonts w:ascii="Georgia" w:eastAsia="Times New Roman" w:hAnsi="Georgia" w:cs="Arial"/>
          <w:b/>
          <w:bCs/>
          <w:color w:val="002639"/>
          <w:sz w:val="37"/>
          <w:szCs w:val="37"/>
          <w:lang w:eastAsia="en-NZ"/>
        </w:rPr>
        <w:t>Updates</w:t>
      </w:r>
    </w:p>
    <w:p w14:paraId="4FC5BA56" w14:textId="77777777" w:rsidR="007F1739" w:rsidRPr="007F1739" w:rsidRDefault="007F1739" w:rsidP="007F1739">
      <w:pPr>
        <w:shd w:val="clear" w:color="auto" w:fill="FFFFFF"/>
        <w:spacing w:before="360" w:after="0" w:line="240" w:lineRule="auto"/>
        <w:rPr>
          <w:rFonts w:ascii="Arial" w:eastAsia="Times New Roman" w:hAnsi="Arial" w:cs="Arial"/>
          <w:color w:val="002639"/>
          <w:sz w:val="20"/>
          <w:szCs w:val="20"/>
          <w:lang w:eastAsia="en-NZ"/>
        </w:rPr>
      </w:pPr>
      <w:r w:rsidRPr="007F1739">
        <w:rPr>
          <w:rFonts w:ascii="Arial" w:eastAsia="Times New Roman" w:hAnsi="Arial" w:cs="Arial"/>
          <w:color w:val="002639"/>
          <w:sz w:val="20"/>
          <w:szCs w:val="20"/>
          <w:lang w:eastAsia="en-NZ"/>
        </w:rPr>
        <w:t>We will update the SBHS enhancements programme webpage as new information becomes available. For more information or to ask questions about the SBHS enhancements programme, please email the SBHS inbox at </w:t>
      </w:r>
      <w:hyperlink r:id="rId22" w:history="1">
        <w:r w:rsidRPr="007F1739">
          <w:rPr>
            <w:rFonts w:ascii="Arial" w:eastAsia="Times New Roman" w:hAnsi="Arial" w:cs="Arial"/>
            <w:color w:val="005D85"/>
            <w:sz w:val="20"/>
            <w:szCs w:val="20"/>
            <w:u w:val="single"/>
            <w:lang w:eastAsia="en-NZ"/>
          </w:rPr>
          <w:t>SBHS@health.govt.nz</w:t>
        </w:r>
      </w:hyperlink>
      <w:r w:rsidRPr="007F1739">
        <w:rPr>
          <w:rFonts w:ascii="Arial" w:eastAsia="Times New Roman" w:hAnsi="Arial" w:cs="Arial"/>
          <w:color w:val="002639"/>
          <w:sz w:val="20"/>
          <w:szCs w:val="20"/>
          <w:lang w:eastAsia="en-NZ"/>
        </w:rPr>
        <w:t>.</w:t>
      </w:r>
    </w:p>
    <w:p w14:paraId="6F8A51A0" w14:textId="77777777" w:rsidR="00F31532" w:rsidRDefault="005F2E54"/>
    <w:sectPr w:rsidR="00F31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74D4"/>
    <w:multiLevelType w:val="multilevel"/>
    <w:tmpl w:val="761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407740"/>
    <w:multiLevelType w:val="multilevel"/>
    <w:tmpl w:val="6226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66CC3"/>
    <w:multiLevelType w:val="multilevel"/>
    <w:tmpl w:val="8C7C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F0519"/>
    <w:multiLevelType w:val="multilevel"/>
    <w:tmpl w:val="8E6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2A72DD"/>
    <w:multiLevelType w:val="multilevel"/>
    <w:tmpl w:val="AAE6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EB59A1"/>
    <w:multiLevelType w:val="multilevel"/>
    <w:tmpl w:val="632E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BA6E9D"/>
    <w:multiLevelType w:val="multilevel"/>
    <w:tmpl w:val="8EA8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39"/>
    <w:rsid w:val="000043EE"/>
    <w:rsid w:val="00040CCC"/>
    <w:rsid w:val="000B2802"/>
    <w:rsid w:val="002253A8"/>
    <w:rsid w:val="002323C1"/>
    <w:rsid w:val="002629C2"/>
    <w:rsid w:val="00277CC2"/>
    <w:rsid w:val="002B4F21"/>
    <w:rsid w:val="003F0DA8"/>
    <w:rsid w:val="003F6CC8"/>
    <w:rsid w:val="004606C8"/>
    <w:rsid w:val="00465F30"/>
    <w:rsid w:val="00484517"/>
    <w:rsid w:val="00493789"/>
    <w:rsid w:val="004A3F4D"/>
    <w:rsid w:val="004C52A3"/>
    <w:rsid w:val="00540039"/>
    <w:rsid w:val="00547652"/>
    <w:rsid w:val="005B7248"/>
    <w:rsid w:val="005F2E54"/>
    <w:rsid w:val="00636B9D"/>
    <w:rsid w:val="00683DF2"/>
    <w:rsid w:val="00687DA1"/>
    <w:rsid w:val="006F5F93"/>
    <w:rsid w:val="007806FD"/>
    <w:rsid w:val="00786D08"/>
    <w:rsid w:val="007976B6"/>
    <w:rsid w:val="007B42F7"/>
    <w:rsid w:val="007C67BA"/>
    <w:rsid w:val="007D1FF2"/>
    <w:rsid w:val="007F1739"/>
    <w:rsid w:val="00803B0B"/>
    <w:rsid w:val="00824F21"/>
    <w:rsid w:val="00843637"/>
    <w:rsid w:val="008806CF"/>
    <w:rsid w:val="00885246"/>
    <w:rsid w:val="00887AC8"/>
    <w:rsid w:val="008A40E1"/>
    <w:rsid w:val="008F1BB2"/>
    <w:rsid w:val="009357D0"/>
    <w:rsid w:val="00987CBB"/>
    <w:rsid w:val="009974C3"/>
    <w:rsid w:val="009E182F"/>
    <w:rsid w:val="00A47C01"/>
    <w:rsid w:val="00AF28D1"/>
    <w:rsid w:val="00B0763E"/>
    <w:rsid w:val="00B1477E"/>
    <w:rsid w:val="00BC56F9"/>
    <w:rsid w:val="00BE1E53"/>
    <w:rsid w:val="00C01487"/>
    <w:rsid w:val="00C66BEB"/>
    <w:rsid w:val="00C84344"/>
    <w:rsid w:val="00CB07AC"/>
    <w:rsid w:val="00D90627"/>
    <w:rsid w:val="00DC40A5"/>
    <w:rsid w:val="00DE070F"/>
    <w:rsid w:val="00E62899"/>
    <w:rsid w:val="00E62D91"/>
    <w:rsid w:val="00ED5508"/>
    <w:rsid w:val="00F150DC"/>
    <w:rsid w:val="00F61C1E"/>
    <w:rsid w:val="00FC38C4"/>
    <w:rsid w:val="00FF12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D1013"/>
  <w15:chartTrackingRefBased/>
  <w15:docId w15:val="{E6C47613-6BAF-4223-9151-505D8360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1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7F1739"/>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7F173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7F1739"/>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739"/>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7F1739"/>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7F1739"/>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7F1739"/>
    <w:rPr>
      <w:rFonts w:ascii="Times New Roman" w:eastAsia="Times New Roman" w:hAnsi="Times New Roman" w:cs="Times New Roman"/>
      <w:b/>
      <w:bCs/>
      <w:sz w:val="24"/>
      <w:szCs w:val="24"/>
      <w:lang w:eastAsia="en-NZ"/>
    </w:rPr>
  </w:style>
  <w:style w:type="paragraph" w:customStyle="1" w:styleId="intro-text">
    <w:name w:val="intro-text"/>
    <w:basedOn w:val="Normal"/>
    <w:rsid w:val="007F173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7F173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7F1739"/>
    <w:rPr>
      <w:color w:val="0000FF"/>
      <w:u w:val="single"/>
    </w:rPr>
  </w:style>
  <w:style w:type="character" w:styleId="UnresolvedMention">
    <w:name w:val="Unresolved Mention"/>
    <w:basedOn w:val="DefaultParagraphFont"/>
    <w:uiPriority w:val="99"/>
    <w:semiHidden/>
    <w:unhideWhenUsed/>
    <w:rsid w:val="004C52A3"/>
    <w:rPr>
      <w:color w:val="605E5C"/>
      <w:shd w:val="clear" w:color="auto" w:fill="E1DFDD"/>
    </w:rPr>
  </w:style>
  <w:style w:type="character" w:styleId="CommentReference">
    <w:name w:val="annotation reference"/>
    <w:basedOn w:val="DefaultParagraphFont"/>
    <w:uiPriority w:val="99"/>
    <w:semiHidden/>
    <w:unhideWhenUsed/>
    <w:rsid w:val="00843637"/>
    <w:rPr>
      <w:sz w:val="16"/>
      <w:szCs w:val="16"/>
    </w:rPr>
  </w:style>
  <w:style w:type="paragraph" w:styleId="CommentText">
    <w:name w:val="annotation text"/>
    <w:basedOn w:val="Normal"/>
    <w:link w:val="CommentTextChar"/>
    <w:uiPriority w:val="99"/>
    <w:semiHidden/>
    <w:unhideWhenUsed/>
    <w:rsid w:val="00843637"/>
    <w:pPr>
      <w:spacing w:line="240" w:lineRule="auto"/>
    </w:pPr>
    <w:rPr>
      <w:sz w:val="20"/>
      <w:szCs w:val="20"/>
    </w:rPr>
  </w:style>
  <w:style w:type="character" w:customStyle="1" w:styleId="CommentTextChar">
    <w:name w:val="Comment Text Char"/>
    <w:basedOn w:val="DefaultParagraphFont"/>
    <w:link w:val="CommentText"/>
    <w:uiPriority w:val="99"/>
    <w:semiHidden/>
    <w:rsid w:val="00843637"/>
    <w:rPr>
      <w:sz w:val="20"/>
      <w:szCs w:val="20"/>
    </w:rPr>
  </w:style>
  <w:style w:type="paragraph" w:styleId="CommentSubject">
    <w:name w:val="annotation subject"/>
    <w:basedOn w:val="CommentText"/>
    <w:next w:val="CommentText"/>
    <w:link w:val="CommentSubjectChar"/>
    <w:uiPriority w:val="99"/>
    <w:semiHidden/>
    <w:unhideWhenUsed/>
    <w:rsid w:val="00843637"/>
    <w:rPr>
      <w:b/>
      <w:bCs/>
    </w:rPr>
  </w:style>
  <w:style w:type="character" w:customStyle="1" w:styleId="CommentSubjectChar">
    <w:name w:val="Comment Subject Char"/>
    <w:basedOn w:val="CommentTextChar"/>
    <w:link w:val="CommentSubject"/>
    <w:uiPriority w:val="99"/>
    <w:semiHidden/>
    <w:rsid w:val="008436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36908">
      <w:bodyDiv w:val="1"/>
      <w:marLeft w:val="0"/>
      <w:marRight w:val="0"/>
      <w:marTop w:val="0"/>
      <w:marBottom w:val="0"/>
      <w:divBdr>
        <w:top w:val="none" w:sz="0" w:space="0" w:color="auto"/>
        <w:left w:val="none" w:sz="0" w:space="0" w:color="auto"/>
        <w:bottom w:val="none" w:sz="0" w:space="0" w:color="auto"/>
        <w:right w:val="none" w:sz="0" w:space="0" w:color="auto"/>
      </w:divBdr>
      <w:divsChild>
        <w:div w:id="888808013">
          <w:marLeft w:val="0"/>
          <w:marRight w:val="0"/>
          <w:marTop w:val="0"/>
          <w:marBottom w:val="0"/>
          <w:divBdr>
            <w:top w:val="none" w:sz="0" w:space="0" w:color="auto"/>
            <w:left w:val="none" w:sz="0" w:space="0" w:color="auto"/>
            <w:bottom w:val="none" w:sz="0" w:space="0" w:color="auto"/>
            <w:right w:val="none" w:sz="0" w:space="0" w:color="auto"/>
          </w:divBdr>
          <w:divsChild>
            <w:div w:id="1842313302">
              <w:marLeft w:val="0"/>
              <w:marRight w:val="0"/>
              <w:marTop w:val="0"/>
              <w:marBottom w:val="0"/>
              <w:divBdr>
                <w:top w:val="none" w:sz="0" w:space="0" w:color="auto"/>
                <w:left w:val="none" w:sz="0" w:space="0" w:color="auto"/>
                <w:bottom w:val="none" w:sz="0" w:space="0" w:color="auto"/>
                <w:right w:val="none" w:sz="0" w:space="0" w:color="auto"/>
              </w:divBdr>
            </w:div>
          </w:divsChild>
        </w:div>
        <w:div w:id="680208564">
          <w:marLeft w:val="0"/>
          <w:marRight w:val="0"/>
          <w:marTop w:val="0"/>
          <w:marBottom w:val="0"/>
          <w:divBdr>
            <w:top w:val="none" w:sz="0" w:space="0" w:color="auto"/>
            <w:left w:val="none" w:sz="0" w:space="0" w:color="auto"/>
            <w:bottom w:val="none" w:sz="0" w:space="0" w:color="auto"/>
            <w:right w:val="none" w:sz="0" w:space="0" w:color="auto"/>
          </w:divBdr>
          <w:divsChild>
            <w:div w:id="1418943018">
              <w:marLeft w:val="0"/>
              <w:marRight w:val="0"/>
              <w:marTop w:val="0"/>
              <w:marBottom w:val="0"/>
              <w:divBdr>
                <w:top w:val="none" w:sz="0" w:space="0" w:color="auto"/>
                <w:left w:val="none" w:sz="0" w:space="0" w:color="auto"/>
                <w:bottom w:val="none" w:sz="0" w:space="0" w:color="auto"/>
                <w:right w:val="none" w:sz="0" w:space="0" w:color="auto"/>
              </w:divBdr>
              <w:divsChild>
                <w:div w:id="1060709657">
                  <w:marLeft w:val="0"/>
                  <w:marRight w:val="0"/>
                  <w:marTop w:val="0"/>
                  <w:marBottom w:val="0"/>
                  <w:divBdr>
                    <w:top w:val="none" w:sz="0" w:space="0" w:color="auto"/>
                    <w:left w:val="none" w:sz="0" w:space="0" w:color="auto"/>
                    <w:bottom w:val="none" w:sz="0" w:space="0" w:color="auto"/>
                    <w:right w:val="none" w:sz="0" w:space="0" w:color="auto"/>
                  </w:divBdr>
                  <w:divsChild>
                    <w:div w:id="1545369073">
                      <w:marLeft w:val="0"/>
                      <w:marRight w:val="0"/>
                      <w:marTop w:val="0"/>
                      <w:marBottom w:val="0"/>
                      <w:divBdr>
                        <w:top w:val="none" w:sz="0" w:space="0" w:color="auto"/>
                        <w:left w:val="none" w:sz="0" w:space="0" w:color="auto"/>
                        <w:bottom w:val="none" w:sz="0" w:space="0" w:color="auto"/>
                        <w:right w:val="none" w:sz="0" w:space="0" w:color="auto"/>
                      </w:divBdr>
                      <w:divsChild>
                        <w:div w:id="9367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24834">
                  <w:marLeft w:val="0"/>
                  <w:marRight w:val="0"/>
                  <w:marTop w:val="0"/>
                  <w:marBottom w:val="0"/>
                  <w:divBdr>
                    <w:top w:val="none" w:sz="0" w:space="0" w:color="auto"/>
                    <w:left w:val="none" w:sz="0" w:space="0" w:color="auto"/>
                    <w:bottom w:val="none" w:sz="0" w:space="0" w:color="auto"/>
                    <w:right w:val="none" w:sz="0" w:space="0" w:color="auto"/>
                  </w:divBdr>
                  <w:divsChild>
                    <w:div w:id="1562247833">
                      <w:marLeft w:val="0"/>
                      <w:marRight w:val="0"/>
                      <w:marTop w:val="0"/>
                      <w:marBottom w:val="0"/>
                      <w:divBdr>
                        <w:top w:val="none" w:sz="0" w:space="0" w:color="auto"/>
                        <w:left w:val="none" w:sz="0" w:space="0" w:color="auto"/>
                        <w:bottom w:val="none" w:sz="0" w:space="0" w:color="auto"/>
                        <w:right w:val="none" w:sz="0" w:space="0" w:color="auto"/>
                      </w:divBdr>
                      <w:divsChild>
                        <w:div w:id="5743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t.nz/our-work/life-stages/youth-health/school-based-health-services/school-based-health-services-enhancements-programme" TargetMode="External"/><Relationship Id="rId13" Type="http://schemas.openxmlformats.org/officeDocument/2006/relationships/hyperlink" Target="https://www.health.govt.nz/about-ministry/what-we-do/work-programme-2019-20/achieving-equity" TargetMode="External"/><Relationship Id="rId18" Type="http://schemas.openxmlformats.org/officeDocument/2006/relationships/hyperlink" Target="https://www.health.govt.nz/our-work/life-stages/youth-health/school-based-health-services/school-based-health-services-evaluation" TargetMode="External"/><Relationship Id="rId3" Type="http://schemas.openxmlformats.org/officeDocument/2006/relationships/settings" Target="settings.xml"/><Relationship Id="rId21" Type="http://schemas.openxmlformats.org/officeDocument/2006/relationships/hyperlink" Target="https://www.education.govt.nz/our-work/overall-strategies-and-policies/the-statement-of-national-education-and-learning-priorities-nelp-and-the-tertiary-education-strategy-tes/" TargetMode="External"/><Relationship Id="rId7" Type="http://schemas.openxmlformats.org/officeDocument/2006/relationships/hyperlink" Target="https://www.health.govt.nz/our-work/life-stages/youth-health/school-based-health-services/school-based-health-services-enhancements-programme" TargetMode="External"/><Relationship Id="rId12" Type="http://schemas.openxmlformats.org/officeDocument/2006/relationships/hyperlink" Target="https://www.health.govt.nz/our-work/populations/maori-health/te-tiriti-o-waitangi" TargetMode="External"/><Relationship Id="rId17" Type="http://schemas.openxmlformats.org/officeDocument/2006/relationships/hyperlink" Target="https://www.health.govt.nz/our-work/life-stages/youth-health/school-based-health-services/te-tatau-kitenga-national-youth-health-leadership-group" TargetMode="External"/><Relationship Id="rId2" Type="http://schemas.openxmlformats.org/officeDocument/2006/relationships/styles" Target="styles.xml"/><Relationship Id="rId16" Type="http://schemas.openxmlformats.org/officeDocument/2006/relationships/hyperlink" Target="https://www.health.govt.nz/our-work/life-stages/youth-health/school-based-health-services/youth-advisory-group-school-based-health-services-1" TargetMode="External"/><Relationship Id="rId20" Type="http://schemas.openxmlformats.org/officeDocument/2006/relationships/hyperlink" Target="https://conversation.education.govt.nz/conversations/learning-support-action-plan/about-the-learning-support-action-plan/" TargetMode="External"/><Relationship Id="rId1" Type="http://schemas.openxmlformats.org/officeDocument/2006/relationships/numbering" Target="numbering.xml"/><Relationship Id="rId6" Type="http://schemas.openxmlformats.org/officeDocument/2006/relationships/hyperlink" Target="https://www.health.govt.nz/our-work/life-stages/youth-health/school-based-health-services/school-based-health-services-enhancements-programme" TargetMode="External"/><Relationship Id="rId11" Type="http://schemas.openxmlformats.org/officeDocument/2006/relationships/hyperlink" Target="https://www.health.govt.nz/our-work/populations/maori-health/he-korowai-oranga" TargetMode="External"/><Relationship Id="rId24" Type="http://schemas.openxmlformats.org/officeDocument/2006/relationships/theme" Target="theme/theme1.xml"/><Relationship Id="rId5" Type="http://schemas.openxmlformats.org/officeDocument/2006/relationships/hyperlink" Target="https://www.health.govt.nz/our-work/life-stages/youth-health/school-based-health-services/school-based-health-services-enhancements-programme" TargetMode="External"/><Relationship Id="rId15" Type="http://schemas.openxmlformats.org/officeDocument/2006/relationships/hyperlink" Target="https://www.tearawhiti.govt.nz/te-kahui-hikina-maori-crown-relations/engagement/" TargetMode="External"/><Relationship Id="rId23" Type="http://schemas.openxmlformats.org/officeDocument/2006/relationships/fontTable" Target="fontTable.xml"/><Relationship Id="rId10" Type="http://schemas.openxmlformats.org/officeDocument/2006/relationships/hyperlink" Target="https://www.health.govt.nz/publication/whakamaua-maori-health-action-plan-2020-2025" TargetMode="External"/><Relationship Id="rId19" Type="http://schemas.openxmlformats.org/officeDocument/2006/relationships/hyperlink" Target="https://www.education.govt.nz/our-work/changes-in-education/strengthening-learning-support/a-new-model-for-delivering-learning-support/" TargetMode="External"/><Relationship Id="rId4" Type="http://schemas.openxmlformats.org/officeDocument/2006/relationships/webSettings" Target="webSettings.xml"/><Relationship Id="rId9" Type="http://schemas.openxmlformats.org/officeDocument/2006/relationships/hyperlink" Target="https://dpmc.govt.nz/our-programmes/child-and-youth-wellbeing-strategy" TargetMode="External"/><Relationship Id="rId14" Type="http://schemas.openxmlformats.org/officeDocument/2006/relationships/hyperlink" Target="https://www.health.govt.nz/publication/ola-manuia-pacific-health-and-wellbeing-action-plan-2020-2025" TargetMode="External"/><Relationship Id="rId22" Type="http://schemas.openxmlformats.org/officeDocument/2006/relationships/hyperlink" Target="mailto:SBHS@health.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Eilish Reilly</dc:creator>
  <cp:keywords/>
  <dc:description/>
  <cp:lastModifiedBy>Eilish Reilly</cp:lastModifiedBy>
  <cp:revision>23</cp:revision>
  <dcterms:created xsi:type="dcterms:W3CDTF">2022-06-30T21:09:00Z</dcterms:created>
  <dcterms:modified xsi:type="dcterms:W3CDTF">2022-07-01T03:48:00Z</dcterms:modified>
</cp:coreProperties>
</file>