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DA4AA" w14:textId="77777777" w:rsidR="00101B7B" w:rsidRPr="003F22E5" w:rsidRDefault="00101B7B" w:rsidP="00356ACB"/>
    <w:p w14:paraId="4EF2E1FA" w14:textId="16B360B8" w:rsidR="00337327" w:rsidRPr="003F22E5" w:rsidRDefault="00356ACB" w:rsidP="0067272F">
      <w:pPr>
        <w:pStyle w:val="Letteredbullets"/>
        <w:numPr>
          <w:ilvl w:val="0"/>
          <w:numId w:val="0"/>
        </w:numPr>
      </w:pPr>
      <w:r w:rsidRPr="00356ACB">
        <w:rPr>
          <w:rFonts w:ascii="Poppins" w:eastAsia="Roboto" w:hAnsi="Poppins" w:cs="Poppins"/>
          <w:b/>
          <w:bCs/>
          <w:color w:val="15284C"/>
          <w:sz w:val="48"/>
          <w:szCs w:val="44"/>
        </w:rPr>
        <w:t>Acute Respiratory Infection (ARI): Guidance for return-to</w:t>
      </w:r>
      <w:r w:rsidR="008206FD">
        <w:rPr>
          <w:rFonts w:ascii="Poppins" w:eastAsia="Roboto" w:hAnsi="Poppins" w:cs="Poppins"/>
          <w:b/>
          <w:bCs/>
          <w:color w:val="15284C"/>
          <w:sz w:val="48"/>
          <w:szCs w:val="44"/>
        </w:rPr>
        <w:t>-</w:t>
      </w:r>
      <w:r w:rsidRPr="00356ACB">
        <w:rPr>
          <w:rFonts w:ascii="Poppins" w:eastAsia="Roboto" w:hAnsi="Poppins" w:cs="Poppins"/>
          <w:b/>
          <w:bCs/>
          <w:color w:val="15284C"/>
          <w:sz w:val="48"/>
          <w:szCs w:val="44"/>
        </w:rPr>
        <w:t>work of healthcare workers</w:t>
      </w:r>
    </w:p>
    <w:p w14:paraId="56D413F4" w14:textId="4517AE89" w:rsidR="00101B7B" w:rsidRPr="003F22E5" w:rsidRDefault="00161391" w:rsidP="001D01CA">
      <w:r>
        <w:t>9</w:t>
      </w:r>
      <w:r w:rsidR="00101B7B" w:rsidRPr="003F22E5">
        <w:t xml:space="preserve"> Ju</w:t>
      </w:r>
      <w:r w:rsidR="009377FC">
        <w:t>ly</w:t>
      </w:r>
      <w:r w:rsidR="00101B7B" w:rsidRPr="003F22E5">
        <w:t xml:space="preserve"> 2024</w:t>
      </w:r>
    </w:p>
    <w:p w14:paraId="210E5335" w14:textId="77777777" w:rsidR="00101B7B" w:rsidRDefault="00101B7B" w:rsidP="0067272F">
      <w:pPr>
        <w:pStyle w:val="Letteredbullets"/>
        <w:numPr>
          <w:ilvl w:val="0"/>
          <w:numId w:val="0"/>
        </w:numPr>
        <w:rPr>
          <w:rFonts w:asciiTheme="minorHAnsi" w:eastAsia="Poppins" w:hAnsiTheme="minorHAnsi" w:cstheme="minorHAnsi"/>
        </w:rPr>
      </w:pPr>
    </w:p>
    <w:p w14:paraId="3D9ACA62" w14:textId="77777777" w:rsidR="006B505D" w:rsidRPr="003F22E5" w:rsidRDefault="006B505D" w:rsidP="0067272F">
      <w:pPr>
        <w:pStyle w:val="Letteredbullets"/>
        <w:numPr>
          <w:ilvl w:val="0"/>
          <w:numId w:val="0"/>
        </w:numPr>
        <w:rPr>
          <w:rFonts w:asciiTheme="minorHAnsi" w:eastAsia="Poppins" w:hAnsiTheme="minorHAnsi" w:cstheme="minorHAnsi"/>
        </w:rPr>
      </w:pPr>
    </w:p>
    <w:sdt>
      <w:sdtPr>
        <w:rPr>
          <w:rFonts w:asciiTheme="minorHAnsi" w:eastAsiaTheme="minorEastAsia" w:hAnsiTheme="minorHAnsi" w:cstheme="minorBidi"/>
          <w:noProof w:val="0"/>
          <w:color w:val="auto"/>
          <w:sz w:val="22"/>
          <w:szCs w:val="22"/>
          <w:lang w:val="en-US"/>
        </w:rPr>
        <w:id w:val="2019651061"/>
        <w:docPartObj>
          <w:docPartGallery w:val="Table of Contents"/>
          <w:docPartUnique/>
        </w:docPartObj>
      </w:sdtPr>
      <w:sdtEndPr>
        <w:rPr>
          <w:b/>
          <w:bCs/>
        </w:rPr>
      </w:sdtEndPr>
      <w:sdtContent>
        <w:p w14:paraId="7652D8EE" w14:textId="77777777" w:rsidR="00101B7B" w:rsidRPr="003F22E5" w:rsidRDefault="00101B7B" w:rsidP="00101B7B">
          <w:pPr>
            <w:pStyle w:val="TOCHeading"/>
            <w:rPr>
              <w:b/>
              <w:bCs/>
              <w:color w:val="0C818F" w:themeColor="accent3"/>
              <w:sz w:val="32"/>
            </w:rPr>
          </w:pPr>
          <w:r w:rsidRPr="003F22E5">
            <w:rPr>
              <w:b/>
              <w:bCs/>
              <w:color w:val="0C818F" w:themeColor="accent3"/>
              <w:sz w:val="32"/>
            </w:rPr>
            <w:t>Contents</w:t>
          </w:r>
        </w:p>
        <w:p w14:paraId="24916D79" w14:textId="086BA992" w:rsidR="00E029CF" w:rsidRDefault="00101B7B">
          <w:pPr>
            <w:pStyle w:val="TOC1"/>
            <w:tabs>
              <w:tab w:val="right" w:leader="dot" w:pos="9016"/>
            </w:tabs>
            <w:rPr>
              <w:rFonts w:asciiTheme="minorHAnsi" w:eastAsiaTheme="minorEastAsia" w:hAnsiTheme="minorHAnsi" w:cstheme="minorBidi"/>
              <w:noProof/>
              <w:kern w:val="2"/>
              <w:sz w:val="24"/>
              <w:szCs w:val="24"/>
              <w:lang w:val="en-NZ" w:eastAsia="en-NZ"/>
              <w14:ligatures w14:val="standardContextual"/>
            </w:rPr>
          </w:pPr>
          <w:r w:rsidRPr="006B505D">
            <w:rPr>
              <w:lang w:val="en-NZ"/>
            </w:rPr>
            <w:fldChar w:fldCharType="begin"/>
          </w:r>
          <w:r w:rsidRPr="006B505D">
            <w:rPr>
              <w:lang w:val="en-NZ"/>
            </w:rPr>
            <w:instrText xml:space="preserve"> TOC \o "1-3" \h \z \u </w:instrText>
          </w:r>
          <w:r w:rsidRPr="006B505D">
            <w:rPr>
              <w:lang w:val="en-NZ"/>
            </w:rPr>
            <w:fldChar w:fldCharType="separate"/>
          </w:r>
          <w:hyperlink w:anchor="_Toc170995738" w:history="1">
            <w:r w:rsidR="00E029CF" w:rsidRPr="00353828">
              <w:rPr>
                <w:rStyle w:val="Hyperlink"/>
                <w:noProof/>
              </w:rPr>
              <w:t>Introduction</w:t>
            </w:r>
            <w:r w:rsidR="00E029CF">
              <w:rPr>
                <w:noProof/>
                <w:webHidden/>
              </w:rPr>
              <w:tab/>
            </w:r>
            <w:r w:rsidR="00E029CF">
              <w:rPr>
                <w:noProof/>
                <w:webHidden/>
              </w:rPr>
              <w:fldChar w:fldCharType="begin"/>
            </w:r>
            <w:r w:rsidR="00E029CF">
              <w:rPr>
                <w:noProof/>
                <w:webHidden/>
              </w:rPr>
              <w:instrText xml:space="preserve"> PAGEREF _Toc170995738 \h </w:instrText>
            </w:r>
            <w:r w:rsidR="00E029CF">
              <w:rPr>
                <w:noProof/>
                <w:webHidden/>
              </w:rPr>
            </w:r>
            <w:r w:rsidR="00E029CF">
              <w:rPr>
                <w:noProof/>
                <w:webHidden/>
              </w:rPr>
              <w:fldChar w:fldCharType="separate"/>
            </w:r>
            <w:r w:rsidR="00A47C26">
              <w:rPr>
                <w:noProof/>
                <w:webHidden/>
              </w:rPr>
              <w:t>2</w:t>
            </w:r>
            <w:r w:rsidR="00E029CF">
              <w:rPr>
                <w:noProof/>
                <w:webHidden/>
              </w:rPr>
              <w:fldChar w:fldCharType="end"/>
            </w:r>
          </w:hyperlink>
        </w:p>
        <w:p w14:paraId="7A21765F" w14:textId="7E132334" w:rsidR="00E029CF" w:rsidRDefault="00000000">
          <w:pPr>
            <w:pStyle w:val="TOC3"/>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70995739" w:history="1">
            <w:r w:rsidR="00E029CF" w:rsidRPr="00353828">
              <w:rPr>
                <w:rStyle w:val="Hyperlink"/>
                <w:noProof/>
              </w:rPr>
              <w:t>Who this guidance is for</w:t>
            </w:r>
            <w:r w:rsidR="00E029CF">
              <w:rPr>
                <w:noProof/>
                <w:webHidden/>
              </w:rPr>
              <w:tab/>
            </w:r>
            <w:r w:rsidR="00E029CF">
              <w:rPr>
                <w:noProof/>
                <w:webHidden/>
              </w:rPr>
              <w:fldChar w:fldCharType="begin"/>
            </w:r>
            <w:r w:rsidR="00E029CF">
              <w:rPr>
                <w:noProof/>
                <w:webHidden/>
              </w:rPr>
              <w:instrText xml:space="preserve"> PAGEREF _Toc170995739 \h </w:instrText>
            </w:r>
            <w:r w:rsidR="00E029CF">
              <w:rPr>
                <w:noProof/>
                <w:webHidden/>
              </w:rPr>
            </w:r>
            <w:r w:rsidR="00E029CF">
              <w:rPr>
                <w:noProof/>
                <w:webHidden/>
              </w:rPr>
              <w:fldChar w:fldCharType="separate"/>
            </w:r>
            <w:r w:rsidR="00A47C26">
              <w:rPr>
                <w:noProof/>
                <w:webHidden/>
              </w:rPr>
              <w:t>2</w:t>
            </w:r>
            <w:r w:rsidR="00E029CF">
              <w:rPr>
                <w:noProof/>
                <w:webHidden/>
              </w:rPr>
              <w:fldChar w:fldCharType="end"/>
            </w:r>
          </w:hyperlink>
        </w:p>
        <w:p w14:paraId="70C71C49" w14:textId="40C91979" w:rsidR="00E029CF" w:rsidRDefault="00000000">
          <w:pPr>
            <w:pStyle w:val="TOC1"/>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70995740" w:history="1">
            <w:r w:rsidR="00E029CF" w:rsidRPr="00353828">
              <w:rPr>
                <w:rStyle w:val="Hyperlink"/>
                <w:noProof/>
              </w:rPr>
              <w:t>ARI symptoms</w:t>
            </w:r>
            <w:r w:rsidR="00E029CF">
              <w:rPr>
                <w:noProof/>
                <w:webHidden/>
              </w:rPr>
              <w:tab/>
            </w:r>
            <w:r w:rsidR="00E029CF">
              <w:rPr>
                <w:noProof/>
                <w:webHidden/>
              </w:rPr>
              <w:fldChar w:fldCharType="begin"/>
            </w:r>
            <w:r w:rsidR="00E029CF">
              <w:rPr>
                <w:noProof/>
                <w:webHidden/>
              </w:rPr>
              <w:instrText xml:space="preserve"> PAGEREF _Toc170995740 \h </w:instrText>
            </w:r>
            <w:r w:rsidR="00E029CF">
              <w:rPr>
                <w:noProof/>
                <w:webHidden/>
              </w:rPr>
            </w:r>
            <w:r w:rsidR="00E029CF">
              <w:rPr>
                <w:noProof/>
                <w:webHidden/>
              </w:rPr>
              <w:fldChar w:fldCharType="separate"/>
            </w:r>
            <w:r w:rsidR="00A47C26">
              <w:rPr>
                <w:noProof/>
                <w:webHidden/>
              </w:rPr>
              <w:t>3</w:t>
            </w:r>
            <w:r w:rsidR="00E029CF">
              <w:rPr>
                <w:noProof/>
                <w:webHidden/>
              </w:rPr>
              <w:fldChar w:fldCharType="end"/>
            </w:r>
          </w:hyperlink>
        </w:p>
        <w:p w14:paraId="21950D70" w14:textId="08257506" w:rsidR="00E029CF" w:rsidRDefault="00000000">
          <w:pPr>
            <w:pStyle w:val="TOC3"/>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70995741" w:history="1">
            <w:r w:rsidR="00E029CF" w:rsidRPr="00353828">
              <w:rPr>
                <w:rStyle w:val="Hyperlink"/>
                <w:noProof/>
              </w:rPr>
              <w:t>Stay home when sick – even if it’s not COVID-19</w:t>
            </w:r>
            <w:r w:rsidR="00E029CF">
              <w:rPr>
                <w:noProof/>
                <w:webHidden/>
              </w:rPr>
              <w:tab/>
            </w:r>
            <w:r w:rsidR="00E029CF">
              <w:rPr>
                <w:noProof/>
                <w:webHidden/>
              </w:rPr>
              <w:fldChar w:fldCharType="begin"/>
            </w:r>
            <w:r w:rsidR="00E029CF">
              <w:rPr>
                <w:noProof/>
                <w:webHidden/>
              </w:rPr>
              <w:instrText xml:space="preserve"> PAGEREF _Toc170995741 \h </w:instrText>
            </w:r>
            <w:r w:rsidR="00E029CF">
              <w:rPr>
                <w:noProof/>
                <w:webHidden/>
              </w:rPr>
            </w:r>
            <w:r w:rsidR="00E029CF">
              <w:rPr>
                <w:noProof/>
                <w:webHidden/>
              </w:rPr>
              <w:fldChar w:fldCharType="separate"/>
            </w:r>
            <w:r w:rsidR="00A47C26">
              <w:rPr>
                <w:noProof/>
                <w:webHidden/>
              </w:rPr>
              <w:t>3</w:t>
            </w:r>
            <w:r w:rsidR="00E029CF">
              <w:rPr>
                <w:noProof/>
                <w:webHidden/>
              </w:rPr>
              <w:fldChar w:fldCharType="end"/>
            </w:r>
          </w:hyperlink>
        </w:p>
        <w:p w14:paraId="6E315155" w14:textId="49464B58" w:rsidR="00E029CF" w:rsidRDefault="00000000">
          <w:pPr>
            <w:pStyle w:val="TOC3"/>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70995742" w:history="1">
            <w:r w:rsidR="00E029CF" w:rsidRPr="00353828">
              <w:rPr>
                <w:rStyle w:val="Hyperlink"/>
                <w:noProof/>
              </w:rPr>
              <w:t>ARI transmission</w:t>
            </w:r>
            <w:r w:rsidR="00E029CF">
              <w:rPr>
                <w:noProof/>
                <w:webHidden/>
              </w:rPr>
              <w:tab/>
            </w:r>
            <w:r w:rsidR="00E029CF">
              <w:rPr>
                <w:noProof/>
                <w:webHidden/>
              </w:rPr>
              <w:fldChar w:fldCharType="begin"/>
            </w:r>
            <w:r w:rsidR="00E029CF">
              <w:rPr>
                <w:noProof/>
                <w:webHidden/>
              </w:rPr>
              <w:instrText xml:space="preserve"> PAGEREF _Toc170995742 \h </w:instrText>
            </w:r>
            <w:r w:rsidR="00E029CF">
              <w:rPr>
                <w:noProof/>
                <w:webHidden/>
              </w:rPr>
            </w:r>
            <w:r w:rsidR="00E029CF">
              <w:rPr>
                <w:noProof/>
                <w:webHidden/>
              </w:rPr>
              <w:fldChar w:fldCharType="separate"/>
            </w:r>
            <w:r w:rsidR="00A47C26">
              <w:rPr>
                <w:noProof/>
                <w:webHidden/>
              </w:rPr>
              <w:t>3</w:t>
            </w:r>
            <w:r w:rsidR="00E029CF">
              <w:rPr>
                <w:noProof/>
                <w:webHidden/>
              </w:rPr>
              <w:fldChar w:fldCharType="end"/>
            </w:r>
          </w:hyperlink>
        </w:p>
        <w:p w14:paraId="750A2D4D" w14:textId="3433771D" w:rsidR="00E029CF" w:rsidRDefault="00000000">
          <w:pPr>
            <w:pStyle w:val="TOC3"/>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70995743" w:history="1">
            <w:r w:rsidR="00E029CF" w:rsidRPr="00353828">
              <w:rPr>
                <w:rStyle w:val="Hyperlink"/>
                <w:noProof/>
              </w:rPr>
              <w:t>COVID-19 Rapid antigen tests</w:t>
            </w:r>
            <w:r w:rsidR="00E029CF">
              <w:rPr>
                <w:noProof/>
                <w:webHidden/>
              </w:rPr>
              <w:tab/>
            </w:r>
            <w:r w:rsidR="00E029CF">
              <w:rPr>
                <w:noProof/>
                <w:webHidden/>
              </w:rPr>
              <w:fldChar w:fldCharType="begin"/>
            </w:r>
            <w:r w:rsidR="00E029CF">
              <w:rPr>
                <w:noProof/>
                <w:webHidden/>
              </w:rPr>
              <w:instrText xml:space="preserve"> PAGEREF _Toc170995743 \h </w:instrText>
            </w:r>
            <w:r w:rsidR="00E029CF">
              <w:rPr>
                <w:noProof/>
                <w:webHidden/>
              </w:rPr>
            </w:r>
            <w:r w:rsidR="00E029CF">
              <w:rPr>
                <w:noProof/>
                <w:webHidden/>
              </w:rPr>
              <w:fldChar w:fldCharType="separate"/>
            </w:r>
            <w:r w:rsidR="00A47C26">
              <w:rPr>
                <w:noProof/>
                <w:webHidden/>
              </w:rPr>
              <w:t>3</w:t>
            </w:r>
            <w:r w:rsidR="00E029CF">
              <w:rPr>
                <w:noProof/>
                <w:webHidden/>
              </w:rPr>
              <w:fldChar w:fldCharType="end"/>
            </w:r>
          </w:hyperlink>
        </w:p>
        <w:p w14:paraId="2278D3E4" w14:textId="3F692BCF" w:rsidR="00E029CF" w:rsidRDefault="00000000">
          <w:pPr>
            <w:pStyle w:val="TOC1"/>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70995744" w:history="1">
            <w:r w:rsidR="00E029CF" w:rsidRPr="00353828">
              <w:rPr>
                <w:rStyle w:val="Hyperlink"/>
                <w:noProof/>
              </w:rPr>
              <w:t>Summary of return to work pathways for ARI in HCWs</w:t>
            </w:r>
            <w:r w:rsidR="00E029CF">
              <w:rPr>
                <w:noProof/>
                <w:webHidden/>
              </w:rPr>
              <w:tab/>
            </w:r>
            <w:r w:rsidR="00E029CF">
              <w:rPr>
                <w:noProof/>
                <w:webHidden/>
              </w:rPr>
              <w:fldChar w:fldCharType="begin"/>
            </w:r>
            <w:r w:rsidR="00E029CF">
              <w:rPr>
                <w:noProof/>
                <w:webHidden/>
              </w:rPr>
              <w:instrText xml:space="preserve"> PAGEREF _Toc170995744 \h </w:instrText>
            </w:r>
            <w:r w:rsidR="00E029CF">
              <w:rPr>
                <w:noProof/>
                <w:webHidden/>
              </w:rPr>
            </w:r>
            <w:r w:rsidR="00E029CF">
              <w:rPr>
                <w:noProof/>
                <w:webHidden/>
              </w:rPr>
              <w:fldChar w:fldCharType="separate"/>
            </w:r>
            <w:r w:rsidR="00A47C26">
              <w:rPr>
                <w:noProof/>
                <w:webHidden/>
              </w:rPr>
              <w:t>4</w:t>
            </w:r>
            <w:r w:rsidR="00E029CF">
              <w:rPr>
                <w:noProof/>
                <w:webHidden/>
              </w:rPr>
              <w:fldChar w:fldCharType="end"/>
            </w:r>
          </w:hyperlink>
        </w:p>
        <w:p w14:paraId="1065A17B" w14:textId="01220F08" w:rsidR="00E029CF" w:rsidRDefault="00000000">
          <w:pPr>
            <w:pStyle w:val="TOC1"/>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70995745" w:history="1">
            <w:r w:rsidR="00E029CF" w:rsidRPr="00353828">
              <w:rPr>
                <w:rStyle w:val="Hyperlink"/>
                <w:noProof/>
              </w:rPr>
              <w:t>Continue to do the basics well</w:t>
            </w:r>
            <w:r w:rsidR="00E029CF">
              <w:rPr>
                <w:noProof/>
                <w:webHidden/>
              </w:rPr>
              <w:tab/>
            </w:r>
            <w:r w:rsidR="00E029CF">
              <w:rPr>
                <w:noProof/>
                <w:webHidden/>
              </w:rPr>
              <w:fldChar w:fldCharType="begin"/>
            </w:r>
            <w:r w:rsidR="00E029CF">
              <w:rPr>
                <w:noProof/>
                <w:webHidden/>
              </w:rPr>
              <w:instrText xml:space="preserve"> PAGEREF _Toc170995745 \h </w:instrText>
            </w:r>
            <w:r w:rsidR="00E029CF">
              <w:rPr>
                <w:noProof/>
                <w:webHidden/>
              </w:rPr>
            </w:r>
            <w:r w:rsidR="00E029CF">
              <w:rPr>
                <w:noProof/>
                <w:webHidden/>
              </w:rPr>
              <w:fldChar w:fldCharType="separate"/>
            </w:r>
            <w:r w:rsidR="00A47C26">
              <w:rPr>
                <w:noProof/>
                <w:webHidden/>
              </w:rPr>
              <w:t>6</w:t>
            </w:r>
            <w:r w:rsidR="00E029CF">
              <w:rPr>
                <w:noProof/>
                <w:webHidden/>
              </w:rPr>
              <w:fldChar w:fldCharType="end"/>
            </w:r>
          </w:hyperlink>
        </w:p>
        <w:p w14:paraId="25F0A262" w14:textId="39C38EC6" w:rsidR="00E029CF" w:rsidRDefault="00000000">
          <w:pPr>
            <w:pStyle w:val="TOC3"/>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70995746" w:history="1">
            <w:r w:rsidR="00E029CF" w:rsidRPr="00353828">
              <w:rPr>
                <w:rStyle w:val="Hyperlink"/>
                <w:noProof/>
              </w:rPr>
              <w:t>Staying home and testing if unwell</w:t>
            </w:r>
            <w:r w:rsidR="00E029CF">
              <w:rPr>
                <w:noProof/>
                <w:webHidden/>
              </w:rPr>
              <w:tab/>
            </w:r>
            <w:r w:rsidR="00E029CF">
              <w:rPr>
                <w:noProof/>
                <w:webHidden/>
              </w:rPr>
              <w:fldChar w:fldCharType="begin"/>
            </w:r>
            <w:r w:rsidR="00E029CF">
              <w:rPr>
                <w:noProof/>
                <w:webHidden/>
              </w:rPr>
              <w:instrText xml:space="preserve"> PAGEREF _Toc170995746 \h </w:instrText>
            </w:r>
            <w:r w:rsidR="00E029CF">
              <w:rPr>
                <w:noProof/>
                <w:webHidden/>
              </w:rPr>
            </w:r>
            <w:r w:rsidR="00E029CF">
              <w:rPr>
                <w:noProof/>
                <w:webHidden/>
              </w:rPr>
              <w:fldChar w:fldCharType="separate"/>
            </w:r>
            <w:r w:rsidR="00A47C26">
              <w:rPr>
                <w:noProof/>
                <w:webHidden/>
              </w:rPr>
              <w:t>6</w:t>
            </w:r>
            <w:r w:rsidR="00E029CF">
              <w:rPr>
                <w:noProof/>
                <w:webHidden/>
              </w:rPr>
              <w:fldChar w:fldCharType="end"/>
            </w:r>
          </w:hyperlink>
        </w:p>
        <w:p w14:paraId="1B925402" w14:textId="760FF275" w:rsidR="00E029CF" w:rsidRDefault="00000000">
          <w:pPr>
            <w:pStyle w:val="TOC3"/>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70995747" w:history="1">
            <w:r w:rsidR="00E029CF" w:rsidRPr="00353828">
              <w:rPr>
                <w:rStyle w:val="Hyperlink"/>
                <w:noProof/>
              </w:rPr>
              <w:t>Mask wearing</w:t>
            </w:r>
            <w:r w:rsidR="00E029CF">
              <w:rPr>
                <w:noProof/>
                <w:webHidden/>
              </w:rPr>
              <w:tab/>
            </w:r>
            <w:r w:rsidR="00E029CF">
              <w:rPr>
                <w:noProof/>
                <w:webHidden/>
              </w:rPr>
              <w:fldChar w:fldCharType="begin"/>
            </w:r>
            <w:r w:rsidR="00E029CF">
              <w:rPr>
                <w:noProof/>
                <w:webHidden/>
              </w:rPr>
              <w:instrText xml:space="preserve"> PAGEREF _Toc170995747 \h </w:instrText>
            </w:r>
            <w:r w:rsidR="00E029CF">
              <w:rPr>
                <w:noProof/>
                <w:webHidden/>
              </w:rPr>
            </w:r>
            <w:r w:rsidR="00E029CF">
              <w:rPr>
                <w:noProof/>
                <w:webHidden/>
              </w:rPr>
              <w:fldChar w:fldCharType="separate"/>
            </w:r>
            <w:r w:rsidR="00A47C26">
              <w:rPr>
                <w:noProof/>
                <w:webHidden/>
              </w:rPr>
              <w:t>6</w:t>
            </w:r>
            <w:r w:rsidR="00E029CF">
              <w:rPr>
                <w:noProof/>
                <w:webHidden/>
              </w:rPr>
              <w:fldChar w:fldCharType="end"/>
            </w:r>
          </w:hyperlink>
        </w:p>
        <w:p w14:paraId="57AD925D" w14:textId="031A2174" w:rsidR="00E029CF" w:rsidRDefault="00000000">
          <w:pPr>
            <w:pStyle w:val="TOC3"/>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70995748" w:history="1">
            <w:r w:rsidR="00E029CF" w:rsidRPr="00353828">
              <w:rPr>
                <w:rStyle w:val="Hyperlink"/>
                <w:noProof/>
              </w:rPr>
              <w:t>Vaccinations</w:t>
            </w:r>
            <w:r w:rsidR="00E029CF">
              <w:rPr>
                <w:noProof/>
                <w:webHidden/>
              </w:rPr>
              <w:tab/>
            </w:r>
            <w:r w:rsidR="00E029CF">
              <w:rPr>
                <w:noProof/>
                <w:webHidden/>
              </w:rPr>
              <w:fldChar w:fldCharType="begin"/>
            </w:r>
            <w:r w:rsidR="00E029CF">
              <w:rPr>
                <w:noProof/>
                <w:webHidden/>
              </w:rPr>
              <w:instrText xml:space="preserve"> PAGEREF _Toc170995748 \h </w:instrText>
            </w:r>
            <w:r w:rsidR="00E029CF">
              <w:rPr>
                <w:noProof/>
                <w:webHidden/>
              </w:rPr>
            </w:r>
            <w:r w:rsidR="00E029CF">
              <w:rPr>
                <w:noProof/>
                <w:webHidden/>
              </w:rPr>
              <w:fldChar w:fldCharType="separate"/>
            </w:r>
            <w:r w:rsidR="00A47C26">
              <w:rPr>
                <w:noProof/>
                <w:webHidden/>
              </w:rPr>
              <w:t>6</w:t>
            </w:r>
            <w:r w:rsidR="00E029CF">
              <w:rPr>
                <w:noProof/>
                <w:webHidden/>
              </w:rPr>
              <w:fldChar w:fldCharType="end"/>
            </w:r>
          </w:hyperlink>
        </w:p>
        <w:p w14:paraId="38D4D81F" w14:textId="45B4E1B3" w:rsidR="00E029CF" w:rsidRDefault="00000000">
          <w:pPr>
            <w:pStyle w:val="TOC3"/>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70995749" w:history="1">
            <w:r w:rsidR="00E029CF" w:rsidRPr="00353828">
              <w:rPr>
                <w:rStyle w:val="Hyperlink"/>
                <w:noProof/>
              </w:rPr>
              <w:t>Reducing transmission during breaks</w:t>
            </w:r>
            <w:r w:rsidR="00E029CF">
              <w:rPr>
                <w:noProof/>
                <w:webHidden/>
              </w:rPr>
              <w:tab/>
            </w:r>
            <w:r w:rsidR="00E029CF">
              <w:rPr>
                <w:noProof/>
                <w:webHidden/>
              </w:rPr>
              <w:fldChar w:fldCharType="begin"/>
            </w:r>
            <w:r w:rsidR="00E029CF">
              <w:rPr>
                <w:noProof/>
                <w:webHidden/>
              </w:rPr>
              <w:instrText xml:space="preserve"> PAGEREF _Toc170995749 \h </w:instrText>
            </w:r>
            <w:r w:rsidR="00E029CF">
              <w:rPr>
                <w:noProof/>
                <w:webHidden/>
              </w:rPr>
            </w:r>
            <w:r w:rsidR="00E029CF">
              <w:rPr>
                <w:noProof/>
                <w:webHidden/>
              </w:rPr>
              <w:fldChar w:fldCharType="separate"/>
            </w:r>
            <w:r w:rsidR="00A47C26">
              <w:rPr>
                <w:noProof/>
                <w:webHidden/>
              </w:rPr>
              <w:t>6</w:t>
            </w:r>
            <w:r w:rsidR="00E029CF">
              <w:rPr>
                <w:noProof/>
                <w:webHidden/>
              </w:rPr>
              <w:fldChar w:fldCharType="end"/>
            </w:r>
          </w:hyperlink>
        </w:p>
        <w:p w14:paraId="5873EB09" w14:textId="02ED5C8B" w:rsidR="00E029CF" w:rsidRDefault="00000000">
          <w:pPr>
            <w:pStyle w:val="TOC3"/>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70995750" w:history="1">
            <w:r w:rsidR="00E029CF" w:rsidRPr="00353828">
              <w:rPr>
                <w:rStyle w:val="Hyperlink"/>
                <w:noProof/>
              </w:rPr>
              <w:t>Reporting processes</w:t>
            </w:r>
            <w:r w:rsidR="00E029CF">
              <w:rPr>
                <w:noProof/>
                <w:webHidden/>
              </w:rPr>
              <w:tab/>
            </w:r>
            <w:r w:rsidR="00E029CF">
              <w:rPr>
                <w:noProof/>
                <w:webHidden/>
              </w:rPr>
              <w:fldChar w:fldCharType="begin"/>
            </w:r>
            <w:r w:rsidR="00E029CF">
              <w:rPr>
                <w:noProof/>
                <w:webHidden/>
              </w:rPr>
              <w:instrText xml:space="preserve"> PAGEREF _Toc170995750 \h </w:instrText>
            </w:r>
            <w:r w:rsidR="00E029CF">
              <w:rPr>
                <w:noProof/>
                <w:webHidden/>
              </w:rPr>
            </w:r>
            <w:r w:rsidR="00E029CF">
              <w:rPr>
                <w:noProof/>
                <w:webHidden/>
              </w:rPr>
              <w:fldChar w:fldCharType="separate"/>
            </w:r>
            <w:r w:rsidR="00A47C26">
              <w:rPr>
                <w:noProof/>
                <w:webHidden/>
              </w:rPr>
              <w:t>6</w:t>
            </w:r>
            <w:r w:rsidR="00E029CF">
              <w:rPr>
                <w:noProof/>
                <w:webHidden/>
              </w:rPr>
              <w:fldChar w:fldCharType="end"/>
            </w:r>
          </w:hyperlink>
        </w:p>
        <w:p w14:paraId="130CE180" w14:textId="720CA6F0" w:rsidR="00101B7B" w:rsidRPr="003F22E5" w:rsidRDefault="00101B7B" w:rsidP="00101B7B">
          <w:pPr>
            <w:rPr>
              <w:lang w:val="en-NZ"/>
            </w:rPr>
          </w:pPr>
          <w:r w:rsidRPr="006B505D">
            <w:rPr>
              <w:b/>
              <w:bCs/>
              <w:noProof/>
              <w:lang w:val="en-NZ"/>
            </w:rPr>
            <w:fldChar w:fldCharType="end"/>
          </w:r>
        </w:p>
      </w:sdtContent>
    </w:sdt>
    <w:p w14:paraId="7033B467" w14:textId="77777777" w:rsidR="00101B7B" w:rsidRDefault="00101B7B" w:rsidP="00101B7B">
      <w:pPr>
        <w:rPr>
          <w:b/>
          <w:bCs/>
          <w:lang w:val="en-NZ"/>
        </w:rPr>
      </w:pPr>
    </w:p>
    <w:p w14:paraId="3BEB3DE5" w14:textId="185422C9" w:rsidR="00101B7B" w:rsidRPr="003F22E5" w:rsidRDefault="177604F1" w:rsidP="00101B7B">
      <w:pPr>
        <w:rPr>
          <w:b/>
          <w:bCs/>
          <w:lang w:val="en-NZ"/>
        </w:rPr>
      </w:pPr>
      <w:r w:rsidRPr="37883930">
        <w:rPr>
          <w:b/>
          <w:bCs/>
          <w:lang w:val="en-NZ"/>
        </w:rPr>
        <w:t>U</w:t>
      </w:r>
      <w:r w:rsidR="00101B7B" w:rsidRPr="37883930">
        <w:rPr>
          <w:b/>
          <w:bCs/>
          <w:lang w:val="en-NZ"/>
        </w:rPr>
        <w:t>pdate from previous version (Guidance for return-to-work in healthcare workers) including:</w:t>
      </w:r>
    </w:p>
    <w:p w14:paraId="33604A55" w14:textId="77D53DFB" w:rsidR="00101B7B" w:rsidRPr="00866B20" w:rsidRDefault="00101B7B" w:rsidP="00866B20">
      <w:pPr>
        <w:pStyle w:val="ListParagraph"/>
        <w:numPr>
          <w:ilvl w:val="0"/>
          <w:numId w:val="9"/>
        </w:numPr>
        <w:rPr>
          <w:lang w:val="en-NZ" w:eastAsia="en-GB"/>
        </w:rPr>
      </w:pPr>
      <w:r w:rsidRPr="001D01CA">
        <w:rPr>
          <w:lang w:val="en-NZ" w:eastAsia="en-GB"/>
        </w:rPr>
        <w:t>Coverage of broader range of Acute Respiratory Infection (ARI)</w:t>
      </w:r>
    </w:p>
    <w:p w14:paraId="101079B2" w14:textId="77777777" w:rsidR="00101B7B" w:rsidRPr="001D01CA" w:rsidRDefault="00101B7B" w:rsidP="00C60DAC">
      <w:pPr>
        <w:pStyle w:val="ListParagraph"/>
        <w:numPr>
          <w:ilvl w:val="0"/>
          <w:numId w:val="9"/>
        </w:numPr>
        <w:rPr>
          <w:lang w:val="en-NZ" w:eastAsia="en-GB"/>
        </w:rPr>
      </w:pPr>
      <w:r w:rsidRPr="001D01CA">
        <w:rPr>
          <w:lang w:val="en-NZ" w:eastAsia="en-GB"/>
        </w:rPr>
        <w:t>Simplification of return-to-work pathway after COVID-19</w:t>
      </w:r>
    </w:p>
    <w:p w14:paraId="63195AD5" w14:textId="77777777" w:rsidR="00101B7B" w:rsidRPr="001D01CA" w:rsidRDefault="00101B7B" w:rsidP="00C60DAC">
      <w:pPr>
        <w:pStyle w:val="ListParagraph"/>
        <w:numPr>
          <w:ilvl w:val="0"/>
          <w:numId w:val="9"/>
        </w:numPr>
        <w:rPr>
          <w:lang w:val="en-NZ"/>
        </w:rPr>
      </w:pPr>
      <w:r w:rsidRPr="001D01CA">
        <w:rPr>
          <w:lang w:val="en-NZ" w:eastAsia="en-GB"/>
        </w:rPr>
        <w:t>Inclusion of ARI and Influenza return to work pathways</w:t>
      </w:r>
    </w:p>
    <w:p w14:paraId="5EBE8DEB" w14:textId="77777777" w:rsidR="00101B7B" w:rsidRPr="003F22E5" w:rsidRDefault="00101B7B">
      <w:pPr>
        <w:spacing w:line="259" w:lineRule="auto"/>
        <w:rPr>
          <w:rFonts w:eastAsia="Arial"/>
          <w:lang w:val="en-NZ"/>
        </w:rPr>
      </w:pPr>
      <w:r w:rsidRPr="003F22E5">
        <w:rPr>
          <w:lang w:val="en-NZ"/>
        </w:rPr>
        <w:br w:type="page"/>
      </w:r>
    </w:p>
    <w:p w14:paraId="4F5769D4" w14:textId="77777777" w:rsidR="00101B7B" w:rsidRPr="003F22E5" w:rsidRDefault="00101B7B" w:rsidP="003F22E5">
      <w:pPr>
        <w:pStyle w:val="Heading1"/>
      </w:pPr>
      <w:bookmarkStart w:id="0" w:name="_Toc170830376"/>
      <w:bookmarkStart w:id="1" w:name="_Toc170995738"/>
      <w:r w:rsidRPr="003F22E5">
        <w:lastRenderedPageBreak/>
        <w:t>Introduction</w:t>
      </w:r>
      <w:bookmarkEnd w:id="0"/>
      <w:bookmarkEnd w:id="1"/>
    </w:p>
    <w:p w14:paraId="6783D4B6" w14:textId="7197EB9D" w:rsidR="00101B7B" w:rsidRDefault="00101B7B" w:rsidP="37883930">
      <w:pPr>
        <w:keepNext/>
        <w:rPr>
          <w:b/>
          <w:bCs/>
          <w:lang w:val="en-NZ"/>
        </w:rPr>
      </w:pPr>
      <w:r w:rsidRPr="37883930">
        <w:rPr>
          <w:lang w:val="en-NZ"/>
        </w:rPr>
        <w:t>T</w:t>
      </w:r>
      <w:r w:rsidRPr="37883930">
        <w:rPr>
          <w:b/>
          <w:bCs/>
          <w:lang w:val="en-NZ"/>
        </w:rPr>
        <w:t xml:space="preserve">his document provides guidance </w:t>
      </w:r>
      <w:r w:rsidR="008B3C73" w:rsidRPr="37883930">
        <w:rPr>
          <w:b/>
          <w:bCs/>
          <w:lang w:val="en-NZ"/>
        </w:rPr>
        <w:t xml:space="preserve">for </w:t>
      </w:r>
      <w:r w:rsidR="00E60EFF" w:rsidRPr="37883930">
        <w:rPr>
          <w:b/>
          <w:bCs/>
          <w:lang w:val="en-NZ"/>
        </w:rPr>
        <w:t xml:space="preserve">the </w:t>
      </w:r>
      <w:r w:rsidR="008B3C73" w:rsidRPr="37883930">
        <w:rPr>
          <w:b/>
          <w:bCs/>
          <w:lang w:val="en-NZ"/>
        </w:rPr>
        <w:t xml:space="preserve">return-to work of healthcare workers with </w:t>
      </w:r>
      <w:r w:rsidRPr="37883930">
        <w:rPr>
          <w:b/>
          <w:bCs/>
          <w:lang w:val="en-NZ"/>
        </w:rPr>
        <w:t>a</w:t>
      </w:r>
      <w:r w:rsidRPr="37883930">
        <w:rPr>
          <w:b/>
          <w:bCs/>
          <w:lang w:val="en-NZ" w:eastAsia="en-GB"/>
        </w:rPr>
        <w:t>cute respiratory infection (ARI) including COVID-19</w:t>
      </w:r>
      <w:r w:rsidRPr="37883930">
        <w:rPr>
          <w:b/>
          <w:bCs/>
          <w:lang w:val="en-NZ"/>
        </w:rPr>
        <w:t xml:space="preserve">. This document is directed at clinical leaders and managers in the health sector. </w:t>
      </w:r>
    </w:p>
    <w:p w14:paraId="4ABCE181" w14:textId="72C3B658" w:rsidR="0024662D" w:rsidRPr="0024662D" w:rsidRDefault="0024662D" w:rsidP="00101B7B">
      <w:pPr>
        <w:keepNext/>
        <w:rPr>
          <w:lang w:val="en-NZ"/>
        </w:rPr>
      </w:pPr>
      <w:r w:rsidRPr="0024662D">
        <w:rPr>
          <w:lang w:val="en-NZ"/>
        </w:rPr>
        <w:t>This guidance aims to balance the risk of ARI</w:t>
      </w:r>
      <w:r>
        <w:rPr>
          <w:lang w:val="en-NZ"/>
        </w:rPr>
        <w:t xml:space="preserve"> </w:t>
      </w:r>
      <w:r w:rsidRPr="0024662D">
        <w:rPr>
          <w:lang w:val="en-NZ"/>
        </w:rPr>
        <w:t xml:space="preserve">transmission in </w:t>
      </w:r>
      <w:r>
        <w:rPr>
          <w:lang w:val="en-NZ"/>
        </w:rPr>
        <w:t>NZ</w:t>
      </w:r>
      <w:r w:rsidRPr="0024662D">
        <w:rPr>
          <w:lang w:val="en-NZ"/>
        </w:rPr>
        <w:t xml:space="preserve"> health facilities, and the potential impact on patient safety and H</w:t>
      </w:r>
      <w:r>
        <w:rPr>
          <w:lang w:val="en-NZ"/>
        </w:rPr>
        <w:t>C</w:t>
      </w:r>
      <w:r w:rsidRPr="0024662D">
        <w:rPr>
          <w:lang w:val="en-NZ"/>
        </w:rPr>
        <w:t>W wellbeing.</w:t>
      </w:r>
      <w:r>
        <w:rPr>
          <w:lang w:val="en-NZ"/>
        </w:rPr>
        <w:t xml:space="preserve"> W</w:t>
      </w:r>
      <w:r w:rsidRPr="0024662D">
        <w:rPr>
          <w:lang w:val="en-NZ"/>
        </w:rPr>
        <w:t>e continue to align our advice with international best practice</w:t>
      </w:r>
      <w:r w:rsidR="000D38B1">
        <w:rPr>
          <w:lang w:val="en-NZ"/>
        </w:rPr>
        <w:t>, including</w:t>
      </w:r>
      <w:r w:rsidR="0053421A">
        <w:rPr>
          <w:lang w:val="en-NZ"/>
        </w:rPr>
        <w:t xml:space="preserve"> </w:t>
      </w:r>
      <w:r w:rsidR="00E33A40">
        <w:rPr>
          <w:lang w:val="en-NZ"/>
        </w:rPr>
        <w:t xml:space="preserve">that of </w:t>
      </w:r>
      <w:hyperlink r:id="rId11" w:history="1">
        <w:r w:rsidR="00E33A40" w:rsidRPr="001C6905">
          <w:rPr>
            <w:rStyle w:val="Hyperlink"/>
            <w:lang w:val="en-NZ"/>
          </w:rPr>
          <w:t>Australia</w:t>
        </w:r>
      </w:hyperlink>
      <w:r w:rsidR="00E33A40">
        <w:rPr>
          <w:lang w:val="en-NZ"/>
        </w:rPr>
        <w:t xml:space="preserve"> and the </w:t>
      </w:r>
      <w:hyperlink r:id="rId12" w:history="1">
        <w:r w:rsidR="00E33A40" w:rsidRPr="0087788A">
          <w:rPr>
            <w:rStyle w:val="Hyperlink"/>
            <w:lang w:val="en-NZ"/>
          </w:rPr>
          <w:t>CDC</w:t>
        </w:r>
      </w:hyperlink>
      <w:r w:rsidR="00E33A40">
        <w:rPr>
          <w:lang w:val="en-NZ"/>
        </w:rPr>
        <w:t>.</w:t>
      </w:r>
      <w:r w:rsidR="004B2619">
        <w:rPr>
          <w:lang w:val="en-NZ"/>
        </w:rPr>
        <w:t xml:space="preserve"> This</w:t>
      </w:r>
      <w:r w:rsidR="00F531E1">
        <w:rPr>
          <w:lang w:val="en-NZ"/>
        </w:rPr>
        <w:t xml:space="preserve"> clinical</w:t>
      </w:r>
      <w:r w:rsidR="004B2619">
        <w:rPr>
          <w:lang w:val="en-NZ"/>
        </w:rPr>
        <w:t xml:space="preserve"> document has been prepared with input from Occupational Health, Infection Prevention and Control and Public Health.</w:t>
      </w:r>
    </w:p>
    <w:p w14:paraId="47843D22" w14:textId="77777777" w:rsidR="00101B7B" w:rsidRPr="003F22E5" w:rsidRDefault="00101B7B" w:rsidP="00101B7B">
      <w:pPr>
        <w:rPr>
          <w:lang w:val="en-NZ"/>
        </w:rPr>
      </w:pPr>
      <w:r w:rsidRPr="003F22E5">
        <w:rPr>
          <w:lang w:val="en-NZ"/>
        </w:rPr>
        <w:t xml:space="preserve">It provides </w:t>
      </w:r>
      <w:r w:rsidRPr="003F22E5">
        <w:rPr>
          <w:b/>
          <w:bCs/>
          <w:lang w:val="en-NZ"/>
        </w:rPr>
        <w:t>structured return-to-work pathways</w:t>
      </w:r>
      <w:r w:rsidRPr="003F22E5">
        <w:rPr>
          <w:lang w:val="en-NZ"/>
        </w:rPr>
        <w:t xml:space="preserve"> to enable individual regions and/or services to make decisions appropriate for their circumstances.</w:t>
      </w:r>
    </w:p>
    <w:p w14:paraId="372A1439" w14:textId="77777777" w:rsidR="00101B7B" w:rsidRPr="003F22E5" w:rsidRDefault="00101B7B" w:rsidP="00101B7B">
      <w:pPr>
        <w:pStyle w:val="Heading3"/>
      </w:pPr>
      <w:bookmarkStart w:id="2" w:name="_Toc1800006245"/>
      <w:bookmarkStart w:id="3" w:name="_Toc170995739"/>
      <w:r w:rsidRPr="003F22E5">
        <w:t>Who this guidance is for</w:t>
      </w:r>
      <w:bookmarkEnd w:id="2"/>
      <w:bookmarkEnd w:id="3"/>
    </w:p>
    <w:p w14:paraId="6456A47F" w14:textId="77777777" w:rsidR="00101B7B" w:rsidRPr="003F22E5" w:rsidRDefault="00101B7B" w:rsidP="00101B7B">
      <w:pPr>
        <w:rPr>
          <w:lang w:val="en-NZ"/>
        </w:rPr>
      </w:pPr>
      <w:r w:rsidRPr="003F22E5">
        <w:rPr>
          <w:lang w:val="en-NZ"/>
        </w:rPr>
        <w:t>This guidance applies to healthcare workers in:</w:t>
      </w:r>
    </w:p>
    <w:p w14:paraId="6AF19B83" w14:textId="1B665847" w:rsidR="00101B7B" w:rsidRPr="003F22E5" w:rsidRDefault="00101B7B" w:rsidP="00C60DAC">
      <w:pPr>
        <w:pStyle w:val="ListParagraph"/>
        <w:numPr>
          <w:ilvl w:val="0"/>
          <w:numId w:val="4"/>
        </w:numPr>
        <w:spacing w:line="259" w:lineRule="auto"/>
        <w:rPr>
          <w:lang w:val="en-NZ"/>
        </w:rPr>
      </w:pPr>
      <w:r w:rsidRPr="003F22E5">
        <w:rPr>
          <w:lang w:val="en-NZ"/>
        </w:rPr>
        <w:t>hospitals</w:t>
      </w:r>
    </w:p>
    <w:p w14:paraId="51E7E8B3" w14:textId="40554BAC" w:rsidR="00101B7B" w:rsidRPr="003F22E5" w:rsidRDefault="00101B7B" w:rsidP="00C60DAC">
      <w:pPr>
        <w:pStyle w:val="ListParagraph"/>
        <w:numPr>
          <w:ilvl w:val="0"/>
          <w:numId w:val="4"/>
        </w:numPr>
        <w:spacing w:line="259" w:lineRule="auto"/>
        <w:rPr>
          <w:lang w:val="en-NZ"/>
        </w:rPr>
      </w:pPr>
      <w:r w:rsidRPr="003F22E5">
        <w:rPr>
          <w:lang w:val="en-NZ"/>
        </w:rPr>
        <w:t>aged residential care</w:t>
      </w:r>
    </w:p>
    <w:p w14:paraId="48D6FB76" w14:textId="2344E1F3" w:rsidR="00101B7B" w:rsidRPr="003F22E5" w:rsidRDefault="00101B7B" w:rsidP="00C60DAC">
      <w:pPr>
        <w:pStyle w:val="ListParagraph"/>
        <w:numPr>
          <w:ilvl w:val="0"/>
          <w:numId w:val="4"/>
        </w:numPr>
        <w:spacing w:line="259" w:lineRule="auto"/>
        <w:rPr>
          <w:lang w:val="en-NZ"/>
        </w:rPr>
      </w:pPr>
      <w:r w:rsidRPr="003F22E5">
        <w:rPr>
          <w:lang w:val="en-NZ"/>
        </w:rPr>
        <w:t>primary and community services</w:t>
      </w:r>
    </w:p>
    <w:p w14:paraId="7A79AEF0" w14:textId="77777777" w:rsidR="00101B7B" w:rsidRPr="003F22E5" w:rsidRDefault="00101B7B" w:rsidP="00C60DAC">
      <w:pPr>
        <w:pStyle w:val="ListParagraph"/>
        <w:numPr>
          <w:ilvl w:val="0"/>
          <w:numId w:val="4"/>
        </w:numPr>
        <w:spacing w:line="259" w:lineRule="auto"/>
        <w:rPr>
          <w:lang w:val="en-NZ"/>
        </w:rPr>
      </w:pPr>
      <w:r w:rsidRPr="003F22E5">
        <w:rPr>
          <w:lang w:val="en-NZ"/>
        </w:rPr>
        <w:t>home support services provided for a variety of clients including mental health and disability support services; and</w:t>
      </w:r>
    </w:p>
    <w:p w14:paraId="29391B8F" w14:textId="77777777" w:rsidR="00101B7B" w:rsidRPr="003F22E5" w:rsidRDefault="00101B7B" w:rsidP="00C60DAC">
      <w:pPr>
        <w:pStyle w:val="ListParagraph"/>
        <w:numPr>
          <w:ilvl w:val="0"/>
          <w:numId w:val="4"/>
        </w:numPr>
        <w:spacing w:line="259" w:lineRule="auto"/>
        <w:rPr>
          <w:lang w:val="en-NZ"/>
        </w:rPr>
      </w:pPr>
      <w:r w:rsidRPr="003F22E5">
        <w:rPr>
          <w:lang w:val="en-NZ"/>
        </w:rPr>
        <w:t xml:space="preserve">is appropriate for use by NGOs and private providers in health services. </w:t>
      </w:r>
    </w:p>
    <w:p w14:paraId="0EE305DC" w14:textId="77777777" w:rsidR="00101B7B" w:rsidRPr="003F22E5" w:rsidRDefault="00101B7B" w:rsidP="00101B7B">
      <w:pPr>
        <w:rPr>
          <w:lang w:val="en-NZ"/>
        </w:rPr>
      </w:pPr>
      <w:r w:rsidRPr="003F22E5">
        <w:rPr>
          <w:lang w:val="en-NZ"/>
        </w:rPr>
        <w:t xml:space="preserve">Health services are defined broadly and include all services that are an integral part of the health and wellbeing system. </w:t>
      </w:r>
    </w:p>
    <w:p w14:paraId="36647249" w14:textId="77777777" w:rsidR="00101B7B" w:rsidRPr="003F22E5" w:rsidRDefault="00101B7B" w:rsidP="00101B7B">
      <w:pPr>
        <w:rPr>
          <w:lang w:val="en-NZ"/>
        </w:rPr>
      </w:pPr>
      <w:r w:rsidRPr="003F22E5">
        <w:rPr>
          <w:lang w:val="en-NZ"/>
        </w:rPr>
        <w:t>In hospital settings, support to use this guidance may be provided by personnel in occupational health, infectious diseases, clinical microbiology, infection prevention and control (IPC) and/or service leadership.</w:t>
      </w:r>
    </w:p>
    <w:p w14:paraId="504C0899" w14:textId="411FCBFA" w:rsidR="00101B7B" w:rsidRPr="003F22E5" w:rsidRDefault="00101B7B" w:rsidP="67EDFB63">
      <w:pPr>
        <w:rPr>
          <w:lang w:val="en-NZ"/>
        </w:rPr>
      </w:pPr>
      <w:r w:rsidRPr="67EDFB63">
        <w:rPr>
          <w:lang w:val="en-NZ"/>
        </w:rPr>
        <w:t>In non-hospital settings, we recommend a registered health professional seeks further support and guidance from relevant clinical teams where available (such as occupational health, infectious diseases, clinical microbiology, IPC) and/or service leadership in applying</w:t>
      </w:r>
      <w:r w:rsidR="00CA70D5">
        <w:rPr>
          <w:lang w:val="en-NZ"/>
        </w:rPr>
        <w:t xml:space="preserve"> this guidance.</w:t>
      </w:r>
      <w:r w:rsidRPr="67EDFB63">
        <w:rPr>
          <w:lang w:val="en-NZ"/>
        </w:rPr>
        <w:t xml:space="preserve"> </w:t>
      </w:r>
    </w:p>
    <w:p w14:paraId="7A270E37" w14:textId="6DCEE41E" w:rsidR="00101B7B" w:rsidRPr="003F22E5" w:rsidRDefault="00101B7B" w:rsidP="00101B7B">
      <w:pPr>
        <w:rPr>
          <w:lang w:val="en-NZ"/>
        </w:rPr>
      </w:pPr>
      <w:r w:rsidRPr="67EDFB63">
        <w:rPr>
          <w:lang w:val="en-NZ"/>
        </w:rPr>
        <w:t xml:space="preserve">This is a living document and will be reviewed and updated accordingly. Please ensure you refer to the website for the most up-to-date version. </w:t>
      </w:r>
    </w:p>
    <w:p w14:paraId="47595528" w14:textId="77777777" w:rsidR="00101B7B" w:rsidRPr="003F22E5" w:rsidRDefault="00101B7B" w:rsidP="00101B7B">
      <w:pPr>
        <w:rPr>
          <w:lang w:val="en-NZ"/>
        </w:rPr>
      </w:pPr>
      <w:r w:rsidRPr="003F22E5">
        <w:rPr>
          <w:lang w:val="en-NZ"/>
        </w:rPr>
        <w:br w:type="page"/>
      </w:r>
    </w:p>
    <w:p w14:paraId="4924BF11" w14:textId="77777777" w:rsidR="00101B7B" w:rsidRPr="003F22E5" w:rsidRDefault="00101B7B" w:rsidP="003F22E5">
      <w:pPr>
        <w:pStyle w:val="Heading1"/>
        <w:rPr>
          <w:rFonts w:eastAsiaTheme="minorEastAsia"/>
        </w:rPr>
      </w:pPr>
      <w:bookmarkStart w:id="4" w:name="_Toc103678425"/>
      <w:bookmarkStart w:id="5" w:name="_Toc1933301407"/>
      <w:bookmarkStart w:id="6" w:name="_Toc170830377"/>
      <w:bookmarkStart w:id="7" w:name="_Toc170995740"/>
      <w:r w:rsidRPr="003F22E5">
        <w:rPr>
          <w:rFonts w:eastAsiaTheme="minorEastAsia"/>
        </w:rPr>
        <w:lastRenderedPageBreak/>
        <w:t>ARI symptoms</w:t>
      </w:r>
      <w:bookmarkEnd w:id="4"/>
      <w:bookmarkEnd w:id="5"/>
      <w:bookmarkEnd w:id="6"/>
      <w:bookmarkEnd w:id="7"/>
    </w:p>
    <w:p w14:paraId="21C2B95B" w14:textId="77777777" w:rsidR="00101B7B" w:rsidRPr="003F22E5" w:rsidRDefault="00101B7B" w:rsidP="00101B7B">
      <w:pPr>
        <w:rPr>
          <w:lang w:val="en-NZ"/>
        </w:rPr>
      </w:pPr>
      <w:r w:rsidRPr="003F22E5">
        <w:rPr>
          <w:lang w:val="en-NZ"/>
        </w:rPr>
        <w:t>The clinical presentation of COVID-19 and other ARI include:</w:t>
      </w:r>
    </w:p>
    <w:p w14:paraId="464DAB27" w14:textId="292540CB" w:rsidR="00101B7B" w:rsidRPr="003F22E5" w:rsidRDefault="00101B7B" w:rsidP="00C60DAC">
      <w:pPr>
        <w:pStyle w:val="Header"/>
        <w:numPr>
          <w:ilvl w:val="0"/>
          <w:numId w:val="6"/>
        </w:numPr>
        <w:rPr>
          <w:lang w:val="en-NZ"/>
        </w:rPr>
      </w:pPr>
      <w:r w:rsidRPr="003F22E5">
        <w:rPr>
          <w:lang w:val="en-NZ"/>
        </w:rPr>
        <w:t>New or worsening cough</w:t>
      </w:r>
    </w:p>
    <w:p w14:paraId="2CABE1DE" w14:textId="53184108" w:rsidR="00101B7B" w:rsidRPr="003F22E5" w:rsidRDefault="00101B7B" w:rsidP="00C60DAC">
      <w:pPr>
        <w:pStyle w:val="Header"/>
        <w:numPr>
          <w:ilvl w:val="0"/>
          <w:numId w:val="6"/>
        </w:numPr>
        <w:rPr>
          <w:lang w:val="en-NZ"/>
        </w:rPr>
      </w:pPr>
      <w:r w:rsidRPr="003F22E5">
        <w:rPr>
          <w:lang w:val="en-NZ"/>
        </w:rPr>
        <w:t>Sneezing and runny nose</w:t>
      </w:r>
    </w:p>
    <w:p w14:paraId="5904CE4D" w14:textId="77777777" w:rsidR="00101B7B" w:rsidRPr="003F22E5" w:rsidRDefault="00101B7B" w:rsidP="00C60DAC">
      <w:pPr>
        <w:pStyle w:val="Header"/>
        <w:numPr>
          <w:ilvl w:val="0"/>
          <w:numId w:val="6"/>
        </w:numPr>
        <w:rPr>
          <w:lang w:val="en-NZ"/>
        </w:rPr>
      </w:pPr>
      <w:r w:rsidRPr="003F22E5">
        <w:rPr>
          <w:lang w:val="en-NZ"/>
        </w:rPr>
        <w:t>Fever</w:t>
      </w:r>
    </w:p>
    <w:p w14:paraId="286B32D8" w14:textId="77777777" w:rsidR="00101B7B" w:rsidRPr="003F22E5" w:rsidRDefault="00101B7B" w:rsidP="00C60DAC">
      <w:pPr>
        <w:pStyle w:val="Header"/>
        <w:numPr>
          <w:ilvl w:val="0"/>
          <w:numId w:val="6"/>
        </w:numPr>
        <w:rPr>
          <w:lang w:val="en-NZ"/>
        </w:rPr>
      </w:pPr>
      <w:r w:rsidRPr="003F22E5">
        <w:rPr>
          <w:lang w:val="en-NZ"/>
        </w:rPr>
        <w:t>Sore throat</w:t>
      </w:r>
    </w:p>
    <w:p w14:paraId="338A5E43" w14:textId="77777777" w:rsidR="00101B7B" w:rsidRPr="003F22E5" w:rsidRDefault="00101B7B" w:rsidP="00C60DAC">
      <w:pPr>
        <w:pStyle w:val="Header"/>
        <w:numPr>
          <w:ilvl w:val="0"/>
          <w:numId w:val="6"/>
        </w:numPr>
        <w:rPr>
          <w:lang w:val="en-NZ"/>
        </w:rPr>
      </w:pPr>
      <w:r w:rsidRPr="003F22E5">
        <w:rPr>
          <w:lang w:val="en-NZ"/>
        </w:rPr>
        <w:t>Shortness of breath</w:t>
      </w:r>
    </w:p>
    <w:p w14:paraId="5E4F095A" w14:textId="77777777" w:rsidR="00101B7B" w:rsidRPr="003F22E5" w:rsidRDefault="00101B7B" w:rsidP="00C60DAC">
      <w:pPr>
        <w:pStyle w:val="Header"/>
        <w:numPr>
          <w:ilvl w:val="0"/>
          <w:numId w:val="6"/>
        </w:numPr>
        <w:rPr>
          <w:lang w:val="en-NZ"/>
        </w:rPr>
      </w:pPr>
      <w:r w:rsidRPr="003F22E5">
        <w:rPr>
          <w:lang w:val="en-NZ"/>
        </w:rPr>
        <w:t>Fatigue/feeling of tiredness</w:t>
      </w:r>
    </w:p>
    <w:p w14:paraId="1926B9CF" w14:textId="77777777" w:rsidR="00101B7B" w:rsidRPr="003F22E5" w:rsidRDefault="00101B7B" w:rsidP="00101B7B">
      <w:pPr>
        <w:pStyle w:val="Header"/>
        <w:rPr>
          <w:lang w:val="en-NZ"/>
        </w:rPr>
      </w:pPr>
    </w:p>
    <w:p w14:paraId="7DB2F431" w14:textId="77777777" w:rsidR="00101B7B" w:rsidRDefault="00101B7B" w:rsidP="00101B7B">
      <w:pPr>
        <w:rPr>
          <w:lang w:val="en-NZ"/>
        </w:rPr>
      </w:pPr>
      <w:r w:rsidRPr="003F22E5">
        <w:rPr>
          <w:lang w:val="en-NZ"/>
        </w:rPr>
        <w:t xml:space="preserve">Less common symptoms of COVID-19 and influenza may include diarrhoea, headache, muscle aches, nausea, vomiting, malaise, chest pain, abdominal pain, joint pain, or confusion/Irritability. These almost always occur with one or more of the common symptoms. Temporary loss of smell or altered sense of taste symptoms was associated with COVID-19 especially in early strains. For up to date guidance on COVID-19 symptoms please see the </w:t>
      </w:r>
      <w:hyperlink r:id="rId13" w:history="1">
        <w:r w:rsidRPr="003F22E5">
          <w:rPr>
            <w:rStyle w:val="Hyperlink"/>
            <w:lang w:val="en-NZ"/>
          </w:rPr>
          <w:t>Health NZ website</w:t>
        </w:r>
      </w:hyperlink>
      <w:r w:rsidRPr="003F22E5">
        <w:rPr>
          <w:lang w:val="en-NZ"/>
        </w:rPr>
        <w:t xml:space="preserve">. </w:t>
      </w:r>
    </w:p>
    <w:p w14:paraId="554EEC44" w14:textId="597F5D7C" w:rsidR="00916064" w:rsidRPr="003F22E5" w:rsidRDefault="00BD34F1" w:rsidP="00101B7B">
      <w:pPr>
        <w:rPr>
          <w:lang w:val="en-NZ"/>
        </w:rPr>
      </w:pPr>
      <w:r>
        <w:rPr>
          <w:lang w:val="en-NZ"/>
        </w:rPr>
        <w:t xml:space="preserve">It is not possible to determine which illness an individual has </w:t>
      </w:r>
      <w:r w:rsidR="00A06676">
        <w:rPr>
          <w:lang w:val="en-NZ"/>
        </w:rPr>
        <w:t xml:space="preserve">through symptoms alone. </w:t>
      </w:r>
      <w:proofErr w:type="spellStart"/>
      <w:r w:rsidR="00126AF2">
        <w:rPr>
          <w:lang w:val="en-NZ"/>
        </w:rPr>
        <w:t>H</w:t>
      </w:r>
      <w:r w:rsidR="00A06676">
        <w:rPr>
          <w:lang w:val="en-NZ"/>
        </w:rPr>
        <w:t>ayfever</w:t>
      </w:r>
      <w:proofErr w:type="spellEnd"/>
      <w:r w:rsidR="00A06676">
        <w:rPr>
          <w:lang w:val="en-NZ"/>
        </w:rPr>
        <w:t xml:space="preserve"> and asthma exacerbations </w:t>
      </w:r>
      <w:r w:rsidR="00A77715">
        <w:rPr>
          <w:lang w:val="en-NZ"/>
        </w:rPr>
        <w:t xml:space="preserve">can </w:t>
      </w:r>
      <w:r w:rsidR="00A06676">
        <w:rPr>
          <w:lang w:val="en-NZ"/>
        </w:rPr>
        <w:t xml:space="preserve">cause </w:t>
      </w:r>
      <w:r w:rsidR="00BD6B4F">
        <w:rPr>
          <w:lang w:val="en-NZ"/>
        </w:rPr>
        <w:t>similar symptoms</w:t>
      </w:r>
      <w:r w:rsidR="00A77715">
        <w:rPr>
          <w:lang w:val="en-NZ"/>
        </w:rPr>
        <w:t xml:space="preserve"> and</w:t>
      </w:r>
      <w:r w:rsidR="00126AF2">
        <w:rPr>
          <w:lang w:val="en-NZ"/>
        </w:rPr>
        <w:t xml:space="preserve"> may need to be excluded for some individuals.</w:t>
      </w:r>
    </w:p>
    <w:bookmarkStart w:id="8" w:name="_Toc828570513"/>
    <w:p w14:paraId="4FCADF45" w14:textId="77777777" w:rsidR="00101B7B" w:rsidRPr="003F22E5" w:rsidRDefault="00101B7B" w:rsidP="00101B7B">
      <w:pPr>
        <w:rPr>
          <w:lang w:val="en-NZ"/>
        </w:rPr>
      </w:pPr>
      <w:r w:rsidRPr="003F22E5">
        <w:rPr>
          <w:rFonts w:ascii="Calibri" w:eastAsia="Calibri" w:hAnsi="Calibri"/>
          <w:noProof/>
          <w:color w:val="000000"/>
          <w:lang w:val="en-NZ"/>
        </w:rPr>
        <mc:AlternateContent>
          <mc:Choice Requires="wps">
            <w:drawing>
              <wp:inline distT="0" distB="0" distL="0" distR="0" wp14:anchorId="3FB7374A" wp14:editId="72D0E38D">
                <wp:extent cx="5695950" cy="106680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066800"/>
                        </a:xfrm>
                        <a:prstGeom prst="rect">
                          <a:avLst/>
                        </a:prstGeom>
                        <a:solidFill>
                          <a:srgbClr val="4472C4">
                            <a:lumMod val="20000"/>
                            <a:lumOff val="80000"/>
                          </a:srgbClr>
                        </a:solidFill>
                        <a:ln w="19050">
                          <a:solidFill>
                            <a:srgbClr val="4472C4">
                              <a:lumMod val="75000"/>
                            </a:srgbClr>
                          </a:solidFill>
                          <a:miter lim="800000"/>
                          <a:headEnd/>
                          <a:tailEnd/>
                        </a:ln>
                      </wps:spPr>
                      <wps:txbx>
                        <w:txbxContent>
                          <w:p w14:paraId="2D3B05F5" w14:textId="77777777" w:rsidR="00101B7B" w:rsidRPr="00101B7B" w:rsidRDefault="00101B7B" w:rsidP="00101B7B">
                            <w:pPr>
                              <w:rPr>
                                <w:color w:val="000000"/>
                              </w:rPr>
                            </w:pPr>
                            <w:r w:rsidRPr="001768D3">
                              <w:t>For the purpose of this guidance</w:t>
                            </w:r>
                            <w:r>
                              <w:t xml:space="preserve"> </w:t>
                            </w:r>
                            <w:r w:rsidRPr="00501A5A">
                              <w:rPr>
                                <w:b/>
                                <w:bCs/>
                              </w:rPr>
                              <w:t>mild symptoms</w:t>
                            </w:r>
                            <w:r>
                              <w:t xml:space="preserve"> refers to: </w:t>
                            </w:r>
                          </w:p>
                          <w:p w14:paraId="4C604FA3" w14:textId="2C58DD84" w:rsidR="00101B7B" w:rsidRPr="00AF1EB0" w:rsidRDefault="00101B7B" w:rsidP="00C60DAC">
                            <w:pPr>
                              <w:pStyle w:val="ListParagraph"/>
                              <w:numPr>
                                <w:ilvl w:val="0"/>
                                <w:numId w:val="7"/>
                              </w:numPr>
                            </w:pPr>
                            <w:r w:rsidRPr="00AF1EB0">
                              <w:t>no fevers</w:t>
                            </w:r>
                            <w:r w:rsidR="00215A3A">
                              <w:t xml:space="preserve"> for the last 24 hours</w:t>
                            </w:r>
                            <w:r w:rsidRPr="00AF1EB0">
                              <w:t xml:space="preserve"> (without fever-reducing medication such as paracetamol</w:t>
                            </w:r>
                            <w:r w:rsidR="006B0EEB">
                              <w:t xml:space="preserve"> or ibuprofen</w:t>
                            </w:r>
                            <w:r w:rsidRPr="00AF1EB0">
                              <w:t>)</w:t>
                            </w:r>
                          </w:p>
                          <w:p w14:paraId="25DBEC92" w14:textId="77777777" w:rsidR="00101B7B" w:rsidRPr="00AF1EB0" w:rsidRDefault="00101B7B" w:rsidP="00C60DAC">
                            <w:pPr>
                              <w:pStyle w:val="ListParagraph"/>
                              <w:numPr>
                                <w:ilvl w:val="0"/>
                                <w:numId w:val="7"/>
                              </w:numPr>
                            </w:pPr>
                            <w:r w:rsidRPr="00AF1EB0">
                              <w:t>minimal cough/sneeze</w:t>
                            </w:r>
                          </w:p>
                          <w:p w14:paraId="010F540A" w14:textId="77777777" w:rsidR="00101B7B" w:rsidRPr="00AF1EB0" w:rsidRDefault="00101B7B" w:rsidP="00C60DAC">
                            <w:pPr>
                              <w:pStyle w:val="ListParagraph"/>
                              <w:numPr>
                                <w:ilvl w:val="0"/>
                                <w:numId w:val="7"/>
                              </w:numPr>
                            </w:pPr>
                            <w:r w:rsidRPr="00AF1EB0">
                              <w:t>minimal runny nose (i.e. does not require removal of mask or respirator to wipe)</w:t>
                            </w:r>
                          </w:p>
                          <w:p w14:paraId="4417C38C" w14:textId="77777777" w:rsidR="00101B7B" w:rsidRPr="00C36C51" w:rsidRDefault="00101B7B" w:rsidP="00C60DAC">
                            <w:pPr>
                              <w:pStyle w:val="ListParagraph"/>
                              <w:numPr>
                                <w:ilvl w:val="0"/>
                                <w:numId w:val="7"/>
                              </w:numPr>
                            </w:pPr>
                            <w:r w:rsidRPr="00AF1EB0">
                              <w:t>feeling well enough to return to work</w:t>
                            </w:r>
                          </w:p>
                        </w:txbxContent>
                      </wps:txbx>
                      <wps:bodyPr rot="0" vert="horz" wrap="square" lIns="91440" tIns="45720" rIns="91440" bIns="45720" anchor="t" anchorCtr="0">
                        <a:noAutofit/>
                      </wps:bodyPr>
                    </wps:wsp>
                  </a:graphicData>
                </a:graphic>
              </wp:inline>
            </w:drawing>
          </mc:Choice>
          <mc:Fallback xmlns:a="http://schemas.openxmlformats.org/drawingml/2006/main">
            <w:pict>
              <v:shapetype id="_x0000_t202" coordsize="21600,21600" o:spt="202" path="m,l,21600r21600,l21600,xe" w14:anchorId="3FB7374A">
                <v:stroke joinstyle="miter"/>
                <v:path gradientshapeok="t" o:connecttype="rect"/>
              </v:shapetype>
              <v:shape id="Text Box 2" style="width:448.5pt;height:84pt;visibility:visible;mso-wrap-style:square;mso-left-percent:-10001;mso-top-percent:-10001;mso-position-horizontal:absolute;mso-position-horizontal-relative:char;mso-position-vertical:absolute;mso-position-vertical-relative:line;mso-left-percent:-10001;mso-top-percent:-10001;v-text-anchor:top" o:spid="_x0000_s1026" fillcolor="#dae3f3" strokecolor="#2f5597"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">
                <v:textbox>
                  <w:txbxContent>
                    <w:p w:rsidRPr="00101B7B" w:rsidR="00101B7B" w:rsidP="00101B7B" w:rsidRDefault="00101B7B" w14:paraId="2D3B05F5" w14:textId="77777777">
                      <w:pPr>
                        <w:rPr>
                          <w:color w:val="000000"/>
                        </w:rPr>
                      </w:pPr>
                      <w:proofErr w:type="gramStart"/>
                      <w:r w:rsidRPr="001768D3">
                        <w:t>For the purpose of</w:t>
                      </w:r>
                      <w:proofErr w:type="gramEnd"/>
                      <w:r w:rsidRPr="001768D3">
                        <w:t xml:space="preserve"> this guidance</w:t>
                      </w:r>
                      <w:r>
                        <w:t xml:space="preserve"> </w:t>
                      </w:r>
                      <w:r w:rsidRPr="00501A5A">
                        <w:rPr>
                          <w:b/>
                          <w:bCs/>
                        </w:rPr>
                        <w:t>mild symptoms</w:t>
                      </w:r>
                      <w:r>
                        <w:t xml:space="preserve"> refers to: </w:t>
                      </w:r>
                    </w:p>
                    <w:p w:rsidRPr="00AF1EB0" w:rsidR="00101B7B" w:rsidP="00C60DAC" w:rsidRDefault="00101B7B" w14:paraId="4C604FA3" w14:textId="2C58DD84">
                      <w:pPr>
                        <w:pStyle w:val="ListParagraph"/>
                        <w:numPr>
                          <w:ilvl w:val="0"/>
                          <w:numId w:val="7"/>
                        </w:numPr>
                      </w:pPr>
                      <w:r w:rsidRPr="00AF1EB0">
                        <w:t>no fevers</w:t>
                      </w:r>
                      <w:r w:rsidR="00215A3A">
                        <w:t xml:space="preserve"> for the last 24 hours</w:t>
                      </w:r>
                      <w:r w:rsidRPr="00AF1EB0">
                        <w:t xml:space="preserve"> (without fever-reducing medication such as paracetamol</w:t>
                      </w:r>
                      <w:r w:rsidR="006B0EEB">
                        <w:t xml:space="preserve"> or ibuprofen</w:t>
                      </w:r>
                      <w:r w:rsidRPr="00AF1EB0">
                        <w:t>)</w:t>
                      </w:r>
                    </w:p>
                    <w:p w:rsidRPr="00AF1EB0" w:rsidR="00101B7B" w:rsidP="00C60DAC" w:rsidRDefault="00101B7B" w14:paraId="25DBEC92" w14:textId="77777777">
                      <w:pPr>
                        <w:pStyle w:val="ListParagraph"/>
                        <w:numPr>
                          <w:ilvl w:val="0"/>
                          <w:numId w:val="7"/>
                        </w:numPr>
                      </w:pPr>
                      <w:r w:rsidRPr="00AF1EB0">
                        <w:t>minimal cough/sneeze</w:t>
                      </w:r>
                    </w:p>
                    <w:p w:rsidRPr="00AF1EB0" w:rsidR="00101B7B" w:rsidP="00C60DAC" w:rsidRDefault="00101B7B" w14:paraId="010F540A" w14:textId="77777777">
                      <w:pPr>
                        <w:pStyle w:val="ListParagraph"/>
                        <w:numPr>
                          <w:ilvl w:val="0"/>
                          <w:numId w:val="7"/>
                        </w:numPr>
                      </w:pPr>
                      <w:r w:rsidRPr="00AF1EB0">
                        <w:t>minimal runny nose (i.e. does not require removal of mask or respirator to wipe)</w:t>
                      </w:r>
                    </w:p>
                    <w:p w:rsidRPr="00C36C51" w:rsidR="00101B7B" w:rsidP="00C60DAC" w:rsidRDefault="00101B7B" w14:paraId="4417C38C" w14:textId="77777777">
                      <w:pPr>
                        <w:pStyle w:val="ListParagraph"/>
                        <w:numPr>
                          <w:ilvl w:val="0"/>
                          <w:numId w:val="7"/>
                        </w:numPr>
                      </w:pPr>
                      <w:r w:rsidRPr="00AF1EB0">
                        <w:t xml:space="preserve">feeling well enough to return to </w:t>
                      </w:r>
                      <w:proofErr w:type="gramStart"/>
                      <w:r w:rsidRPr="00AF1EB0">
                        <w:t>work</w:t>
                      </w:r>
                      <w:proofErr w:type="gramEnd"/>
                    </w:p>
                  </w:txbxContent>
                </v:textbox>
                <w10:anchorlock/>
              </v:shape>
            </w:pict>
          </mc:Fallback>
        </mc:AlternateContent>
      </w:r>
    </w:p>
    <w:p w14:paraId="34E4297E" w14:textId="77777777" w:rsidR="00101B7B" w:rsidRPr="003F22E5" w:rsidRDefault="00101B7B" w:rsidP="00101B7B">
      <w:pPr>
        <w:pStyle w:val="Heading3"/>
      </w:pPr>
      <w:bookmarkStart w:id="9" w:name="_Toc170995741"/>
      <w:r w:rsidRPr="003F22E5">
        <w:t>Stay home when sick – even if it’s not COVID-19</w:t>
      </w:r>
      <w:bookmarkEnd w:id="8"/>
      <w:bookmarkEnd w:id="9"/>
    </w:p>
    <w:p w14:paraId="30188EEE" w14:textId="77777777" w:rsidR="00101B7B" w:rsidRPr="003F22E5" w:rsidRDefault="00101B7B" w:rsidP="00101B7B">
      <w:pPr>
        <w:rPr>
          <w:lang w:val="en-NZ"/>
        </w:rPr>
      </w:pPr>
      <w:r w:rsidRPr="003F22E5">
        <w:rPr>
          <w:rFonts w:cstheme="minorHAnsi"/>
          <w:lang w:val="en-NZ"/>
        </w:rPr>
        <w:t xml:space="preserve">All healthcare workers must follow standard public health advice. Stay home when sick and only return to work once symptoms have resolved or are deemed to be mild and improving. </w:t>
      </w:r>
    </w:p>
    <w:p w14:paraId="3930173B" w14:textId="77777777" w:rsidR="00101B7B" w:rsidRPr="00192981" w:rsidRDefault="00101B7B" w:rsidP="00192981">
      <w:pPr>
        <w:rPr>
          <w:rFonts w:cstheme="minorBidi"/>
          <w:b/>
          <w:bCs/>
        </w:rPr>
      </w:pPr>
      <w:r w:rsidRPr="00192981">
        <w:rPr>
          <w:b/>
          <w:bCs/>
        </w:rPr>
        <w:t>Be vigilant for symptoms. If new COVID-19-like symptoms develop, immediately test using a</w:t>
      </w:r>
      <w:r w:rsidRPr="00192981">
        <w:rPr>
          <w:rFonts w:cstheme="minorBidi"/>
          <w:b/>
          <w:bCs/>
        </w:rPr>
        <w:t xml:space="preserve"> Rapid Antigen Test (RAT), or another approved test.</w:t>
      </w:r>
    </w:p>
    <w:p w14:paraId="04F7F2F3" w14:textId="77777777" w:rsidR="00101B7B" w:rsidRPr="003F22E5" w:rsidRDefault="00101B7B" w:rsidP="00101B7B">
      <w:pPr>
        <w:pStyle w:val="Heading3"/>
      </w:pPr>
      <w:bookmarkStart w:id="10" w:name="_Toc103678427"/>
      <w:bookmarkStart w:id="11" w:name="_Toc731298803"/>
      <w:bookmarkStart w:id="12" w:name="_Toc170995742"/>
      <w:r w:rsidRPr="003F22E5">
        <w:t>ARI transmission</w:t>
      </w:r>
      <w:bookmarkEnd w:id="10"/>
      <w:bookmarkEnd w:id="11"/>
      <w:bookmarkEnd w:id="12"/>
    </w:p>
    <w:p w14:paraId="373016D1" w14:textId="24CB52E1" w:rsidR="00101B7B" w:rsidRPr="003F22E5" w:rsidRDefault="00101B7B" w:rsidP="00101B7B">
      <w:pPr>
        <w:rPr>
          <w:lang w:val="en-NZ"/>
        </w:rPr>
      </w:pPr>
      <w:r w:rsidRPr="67EDFB63">
        <w:rPr>
          <w:lang w:val="en-NZ"/>
        </w:rPr>
        <w:t xml:space="preserve">In healthcare settings, HCWs must wear the appropriate personal protective equipment (PPE) and adhere to IPC measures to reduce the risk of transmission for all ARI. Additional guidance regarding vaccinations or increased testing requirements may be put in place for a particular ARI with the intention of protecting vulnerable patients and workers. </w:t>
      </w:r>
    </w:p>
    <w:p w14:paraId="4AE80ECA" w14:textId="77777777" w:rsidR="00101B7B" w:rsidRPr="003F22E5" w:rsidRDefault="00101B7B" w:rsidP="00101B7B">
      <w:pPr>
        <w:pStyle w:val="Heading3"/>
      </w:pPr>
      <w:bookmarkStart w:id="13" w:name="_Toc103678431"/>
      <w:bookmarkStart w:id="14" w:name="_Toc345520313"/>
      <w:bookmarkStart w:id="15" w:name="_Toc170995743"/>
      <w:r w:rsidRPr="003F22E5">
        <w:t>COVID-19 Rapid antigen tests</w:t>
      </w:r>
      <w:bookmarkEnd w:id="13"/>
      <w:bookmarkEnd w:id="14"/>
      <w:bookmarkEnd w:id="15"/>
    </w:p>
    <w:p w14:paraId="438C446F" w14:textId="77777777" w:rsidR="00101B7B" w:rsidRPr="003F22E5" w:rsidRDefault="00101B7B" w:rsidP="00101B7B">
      <w:pPr>
        <w:rPr>
          <w:lang w:val="en-NZ"/>
        </w:rPr>
      </w:pPr>
      <w:r w:rsidRPr="003F22E5">
        <w:rPr>
          <w:lang w:val="en-NZ"/>
        </w:rPr>
        <w:t>Rapid antigen tests (RATs) are used as part of implementing this guidance. We recommend all healthcare organisations provide their staff with access to a supply of RATs, including instructions for how to administer a RAT properly. Any RAT undertaken to return-to-work should be done at home before going to the workplace (not at work prior to starting a shift).</w:t>
      </w:r>
    </w:p>
    <w:p w14:paraId="58B9E28E" w14:textId="6C454BEE" w:rsidR="004A3EF3" w:rsidRDefault="004A3EF3" w:rsidP="00101B7B">
      <w:pPr>
        <w:rPr>
          <w:lang w:val="en-NZ"/>
        </w:rPr>
        <w:sectPr w:rsidR="004A3EF3" w:rsidSect="00101B7B">
          <w:headerReference w:type="default" r:id="rId14"/>
          <w:footerReference w:type="default" r:id="rId15"/>
          <w:headerReference w:type="first" r:id="rId16"/>
          <w:footerReference w:type="first" r:id="rId17"/>
          <w:pgSz w:w="11906" w:h="16838"/>
          <w:pgMar w:top="1530" w:right="1440" w:bottom="1702" w:left="1440" w:header="1134" w:footer="199" w:gutter="0"/>
          <w:cols w:space="708"/>
          <w:docGrid w:linePitch="360"/>
        </w:sectPr>
      </w:pPr>
    </w:p>
    <w:p w14:paraId="2692636F" w14:textId="484671A5" w:rsidR="003F22E5" w:rsidRDefault="003F22E5" w:rsidP="00F32597">
      <w:pPr>
        <w:pStyle w:val="Heading1"/>
        <w:jc w:val="center"/>
      </w:pPr>
      <w:bookmarkStart w:id="16" w:name="_Toc1869236024"/>
      <w:bookmarkStart w:id="17" w:name="_Toc170830378"/>
      <w:bookmarkStart w:id="18" w:name="_Toc170995744"/>
      <w:r w:rsidRPr="000373BB">
        <w:lastRenderedPageBreak/>
        <w:t xml:space="preserve">Summary of </w:t>
      </w:r>
      <w:r w:rsidR="0046537C">
        <w:t>return to work pathways</w:t>
      </w:r>
      <w:r w:rsidRPr="000373BB">
        <w:t xml:space="preserve"> </w:t>
      </w:r>
      <w:r>
        <w:t>for</w:t>
      </w:r>
      <w:r w:rsidRPr="000373BB">
        <w:t xml:space="preserve"> ARI in HCWs</w:t>
      </w:r>
      <w:bookmarkEnd w:id="16"/>
      <w:bookmarkEnd w:id="17"/>
      <w:bookmarkEnd w:id="18"/>
    </w:p>
    <w:tbl>
      <w:tblPr>
        <w:tblW w:w="14601" w:type="dxa"/>
        <w:tblInd w:w="-5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420" w:firstRow="1" w:lastRow="0" w:firstColumn="0" w:lastColumn="0" w:noHBand="0" w:noVBand="1"/>
      </w:tblPr>
      <w:tblGrid>
        <w:gridCol w:w="2410"/>
        <w:gridCol w:w="12191"/>
      </w:tblGrid>
      <w:tr w:rsidR="003F22E5" w:rsidRPr="003F22E5" w14:paraId="5BD3EA2A" w14:textId="77777777" w:rsidTr="37883930">
        <w:trPr>
          <w:cantSplit/>
          <w:trHeight w:val="311"/>
          <w:tblHeader/>
        </w:trPr>
        <w:tc>
          <w:tcPr>
            <w:tcW w:w="2410" w:type="dxa"/>
            <w:shd w:val="clear" w:color="auto" w:fill="404040"/>
            <w:vAlign w:val="center"/>
          </w:tcPr>
          <w:p w14:paraId="0C607924" w14:textId="77777777" w:rsidR="003F22E5" w:rsidRPr="003F22E5" w:rsidRDefault="003F22E5" w:rsidP="003F22E5">
            <w:pPr>
              <w:spacing w:after="0"/>
              <w:rPr>
                <w:rFonts w:ascii="Segoe UI" w:eastAsia="Times New Roman" w:hAnsi="Segoe UI" w:cs="Segoe UI"/>
                <w:color w:val="FFFFFF"/>
                <w:kern w:val="24"/>
                <w:sz w:val="28"/>
                <w:szCs w:val="28"/>
                <w:lang w:val="mi-NZ" w:eastAsia="en-NZ"/>
              </w:rPr>
            </w:pPr>
            <w:bookmarkStart w:id="19" w:name="_Toc103678434"/>
            <w:proofErr w:type="spellStart"/>
            <w:r w:rsidRPr="003F22E5">
              <w:rPr>
                <w:rFonts w:ascii="Segoe UI" w:eastAsia="Times New Roman" w:hAnsi="Segoe UI" w:cs="Segoe UI"/>
                <w:color w:val="FFFFFF"/>
                <w:kern w:val="24"/>
                <w:sz w:val="28"/>
                <w:szCs w:val="28"/>
                <w:lang w:val="mi-NZ" w:eastAsia="en-NZ"/>
              </w:rPr>
              <w:t>Pathway</w:t>
            </w:r>
            <w:proofErr w:type="spellEnd"/>
          </w:p>
        </w:tc>
        <w:tc>
          <w:tcPr>
            <w:tcW w:w="12191" w:type="dxa"/>
            <w:shd w:val="clear" w:color="auto" w:fill="404040"/>
            <w:tcMar>
              <w:top w:w="72" w:type="dxa"/>
              <w:left w:w="144" w:type="dxa"/>
              <w:bottom w:w="72" w:type="dxa"/>
              <w:right w:w="144" w:type="dxa"/>
            </w:tcMar>
            <w:vAlign w:val="center"/>
            <w:hideMark/>
          </w:tcPr>
          <w:p w14:paraId="6C1424C7" w14:textId="77777777" w:rsidR="003F22E5" w:rsidRPr="003F22E5" w:rsidRDefault="003F22E5" w:rsidP="003F22E5">
            <w:pPr>
              <w:spacing w:after="0"/>
              <w:jc w:val="both"/>
              <w:rPr>
                <w:rFonts w:ascii="Segoe UI" w:eastAsia="Times New Roman" w:hAnsi="Segoe UI" w:cs="Segoe UI"/>
                <w:sz w:val="28"/>
                <w:szCs w:val="28"/>
                <w:lang w:val="en-NZ" w:eastAsia="en-NZ"/>
              </w:rPr>
            </w:pPr>
            <w:proofErr w:type="spellStart"/>
            <w:r w:rsidRPr="003F22E5">
              <w:rPr>
                <w:rFonts w:ascii="Segoe UI" w:eastAsia="Times New Roman" w:hAnsi="Segoe UI" w:cs="Segoe UI"/>
                <w:color w:val="FFFFFF"/>
                <w:kern w:val="24"/>
                <w:sz w:val="28"/>
                <w:szCs w:val="28"/>
                <w:lang w:val="mi-NZ" w:eastAsia="en-NZ"/>
              </w:rPr>
              <w:t>Actions</w:t>
            </w:r>
            <w:proofErr w:type="spellEnd"/>
            <w:r w:rsidRPr="003F22E5">
              <w:rPr>
                <w:rFonts w:ascii="Segoe UI" w:eastAsia="Times New Roman" w:hAnsi="Segoe UI" w:cs="Segoe UI"/>
                <w:color w:val="FFFFFF"/>
                <w:kern w:val="24"/>
                <w:sz w:val="28"/>
                <w:szCs w:val="28"/>
                <w:lang w:val="mi-NZ" w:eastAsia="en-NZ"/>
              </w:rPr>
              <w:t xml:space="preserve"> </w:t>
            </w:r>
          </w:p>
        </w:tc>
      </w:tr>
      <w:tr w:rsidR="003F22E5" w:rsidRPr="003F22E5" w14:paraId="469E8C83" w14:textId="77777777" w:rsidTr="37883930">
        <w:trPr>
          <w:cantSplit/>
          <w:trHeight w:val="1452"/>
        </w:trPr>
        <w:tc>
          <w:tcPr>
            <w:tcW w:w="2410" w:type="dxa"/>
            <w:shd w:val="clear" w:color="auto" w:fill="FFFFFF" w:themeFill="accent6"/>
            <w:vAlign w:val="center"/>
          </w:tcPr>
          <w:p w14:paraId="6BCB4178" w14:textId="77777777" w:rsidR="003F22E5" w:rsidRPr="00C60DAC" w:rsidRDefault="003F22E5" w:rsidP="00C60DAC">
            <w:pPr>
              <w:jc w:val="center"/>
              <w:rPr>
                <w:b/>
                <w:bCs/>
                <w:lang w:val="en-NZ" w:eastAsia="en-NZ"/>
              </w:rPr>
            </w:pPr>
            <w:r w:rsidRPr="00C60DAC">
              <w:rPr>
                <w:b/>
                <w:bCs/>
                <w:lang w:val="en-NZ" w:eastAsia="en-NZ"/>
              </w:rPr>
              <w:t>CONTACT</w:t>
            </w:r>
          </w:p>
          <w:p w14:paraId="6F9B8E3B" w14:textId="1C834ACD" w:rsidR="003F22E5" w:rsidRPr="003F22E5" w:rsidRDefault="003F22E5" w:rsidP="00C60DAC">
            <w:pPr>
              <w:jc w:val="center"/>
              <w:rPr>
                <w:lang w:val="en-NZ" w:eastAsia="en-NZ"/>
              </w:rPr>
            </w:pPr>
            <w:r w:rsidRPr="002C7F1C">
              <w:rPr>
                <w:sz w:val="20"/>
                <w:szCs w:val="20"/>
                <w:lang w:val="en-NZ" w:eastAsia="en-NZ"/>
              </w:rPr>
              <w:t xml:space="preserve">Household or high-risk workplace contact of </w:t>
            </w:r>
            <w:r w:rsidR="00681EFA" w:rsidRPr="002C7F1C">
              <w:rPr>
                <w:sz w:val="20"/>
                <w:szCs w:val="20"/>
                <w:lang w:val="en-NZ" w:eastAsia="en-NZ"/>
              </w:rPr>
              <w:t>ARI case</w:t>
            </w:r>
            <w:r w:rsidRPr="002C7F1C">
              <w:rPr>
                <w:sz w:val="20"/>
                <w:szCs w:val="20"/>
                <w:lang w:val="en-NZ" w:eastAsia="en-NZ"/>
              </w:rPr>
              <w:t xml:space="preserve"> in HCW working in clinical area</w:t>
            </w:r>
          </w:p>
        </w:tc>
        <w:tc>
          <w:tcPr>
            <w:tcW w:w="12191" w:type="dxa"/>
            <w:shd w:val="clear" w:color="auto" w:fill="D9D9D9" w:themeFill="accent6" w:themeFillShade="D9"/>
            <w:tcMar>
              <w:top w:w="72" w:type="dxa"/>
              <w:left w:w="144" w:type="dxa"/>
              <w:bottom w:w="72" w:type="dxa"/>
              <w:right w:w="144" w:type="dxa"/>
            </w:tcMar>
          </w:tcPr>
          <w:p w14:paraId="3DAC4E2B" w14:textId="01B8B684" w:rsidR="003F22E5" w:rsidRPr="000F483B" w:rsidRDefault="003F22E5" w:rsidP="00C60DAC">
            <w:pPr>
              <w:pStyle w:val="ListParagraph"/>
              <w:numPr>
                <w:ilvl w:val="0"/>
                <w:numId w:val="17"/>
              </w:numPr>
              <w:ind w:left="357" w:hanging="357"/>
              <w:contextualSpacing w:val="0"/>
              <w:rPr>
                <w:rFonts w:eastAsia="Calibri"/>
                <w:sz w:val="20"/>
                <w:szCs w:val="20"/>
                <w:lang w:val="en-NZ" w:eastAsia="en-NZ"/>
              </w:rPr>
            </w:pPr>
            <w:proofErr w:type="gramStart"/>
            <w:r w:rsidRPr="000F483B">
              <w:rPr>
                <w:sz w:val="20"/>
                <w:szCs w:val="20"/>
                <w:lang w:val="en-NZ" w:eastAsia="en-NZ"/>
              </w:rPr>
              <w:t>Wear a well-fitting medical mask</w:t>
            </w:r>
            <w:r w:rsidR="00AA3AF1" w:rsidRPr="00AA3AF1">
              <w:rPr>
                <w:sz w:val="20"/>
                <w:szCs w:val="20"/>
                <w:vertAlign w:val="superscript"/>
                <w:lang w:val="en-NZ" w:eastAsia="en-NZ"/>
              </w:rPr>
              <w:t>1</w:t>
            </w:r>
            <w:r w:rsidRPr="000F483B">
              <w:rPr>
                <w:rFonts w:eastAsia="Calibri"/>
                <w:sz w:val="20"/>
                <w:szCs w:val="20"/>
                <w:lang w:val="en-NZ"/>
              </w:rPr>
              <w:t xml:space="preserve"> at all times</w:t>
            </w:r>
            <w:proofErr w:type="gramEnd"/>
            <w:r w:rsidRPr="000F483B">
              <w:rPr>
                <w:sz w:val="20"/>
                <w:szCs w:val="20"/>
                <w:lang w:val="en-NZ" w:eastAsia="en-NZ"/>
              </w:rPr>
              <w:t xml:space="preserve"> and adhere to other IPC measures, including maintaining distance from others in break and eating areas. </w:t>
            </w:r>
          </w:p>
          <w:p w14:paraId="163F8E48" w14:textId="77777777" w:rsidR="003F22E5" w:rsidRPr="000F483B" w:rsidRDefault="003F22E5" w:rsidP="00C60DAC">
            <w:pPr>
              <w:pStyle w:val="ListParagraph"/>
              <w:numPr>
                <w:ilvl w:val="0"/>
                <w:numId w:val="17"/>
              </w:numPr>
              <w:ind w:left="357" w:hanging="357"/>
              <w:contextualSpacing w:val="0"/>
              <w:rPr>
                <w:rFonts w:eastAsia="Yu Mincho"/>
                <w:sz w:val="20"/>
                <w:szCs w:val="20"/>
                <w:lang w:val="en-NZ" w:eastAsia="en-NZ"/>
              </w:rPr>
            </w:pPr>
            <w:r w:rsidRPr="000F483B">
              <w:rPr>
                <w:sz w:val="20"/>
                <w:szCs w:val="20"/>
                <w:lang w:val="en-NZ" w:eastAsia="en-NZ"/>
              </w:rPr>
              <w:t>If symptoms develop f</w:t>
            </w:r>
            <w:r w:rsidRPr="000F483B">
              <w:rPr>
                <w:rFonts w:eastAsia="Yu Mincho"/>
                <w:sz w:val="20"/>
                <w:szCs w:val="20"/>
                <w:lang w:val="en-NZ" w:eastAsia="en-NZ"/>
              </w:rPr>
              <w:t xml:space="preserve">ollow ARI symptoms pathway. </w:t>
            </w:r>
          </w:p>
          <w:p w14:paraId="1F421EA6" w14:textId="5816EF75" w:rsidR="00B13FB2" w:rsidRPr="009445FF" w:rsidRDefault="003F22E5" w:rsidP="00B13FB2">
            <w:pPr>
              <w:pStyle w:val="ListParagraph"/>
              <w:numPr>
                <w:ilvl w:val="0"/>
                <w:numId w:val="17"/>
              </w:numPr>
              <w:ind w:left="357" w:hanging="357"/>
              <w:contextualSpacing w:val="0"/>
              <w:rPr>
                <w:sz w:val="20"/>
                <w:szCs w:val="20"/>
                <w:lang w:val="en-NZ" w:eastAsia="en-NZ"/>
              </w:rPr>
            </w:pPr>
            <w:r w:rsidRPr="000F483B">
              <w:rPr>
                <w:rFonts w:eastAsia="Yu Mincho"/>
                <w:sz w:val="20"/>
                <w:szCs w:val="20"/>
                <w:lang w:val="en-NZ" w:eastAsia="en-NZ"/>
              </w:rPr>
              <w:t>Continue to wear a medical mask for 5 days from last exposure (or from when someone i</w:t>
            </w:r>
            <w:r w:rsidRPr="000F483B">
              <w:rPr>
                <w:rFonts w:eastAsia="Yu Mincho"/>
                <w:sz w:val="20"/>
                <w:szCs w:val="20"/>
                <w:lang w:val="en-NZ"/>
              </w:rPr>
              <w:t xml:space="preserve">n household </w:t>
            </w:r>
            <w:r w:rsidRPr="000F483B">
              <w:rPr>
                <w:rFonts w:eastAsia="Yu Mincho"/>
                <w:sz w:val="20"/>
                <w:szCs w:val="20"/>
                <w:lang w:val="en-NZ" w:eastAsia="en-NZ"/>
              </w:rPr>
              <w:t>was unwell/</w:t>
            </w:r>
            <w:r w:rsidRPr="000F483B">
              <w:rPr>
                <w:rFonts w:eastAsia="Yu Mincho"/>
                <w:sz w:val="20"/>
                <w:szCs w:val="20"/>
                <w:lang w:val="en-NZ"/>
              </w:rPr>
              <w:t>contagious</w:t>
            </w:r>
            <w:r w:rsidRPr="000F483B">
              <w:rPr>
                <w:rFonts w:eastAsia="Yu Mincho"/>
                <w:sz w:val="20"/>
                <w:szCs w:val="20"/>
                <w:lang w:val="en-NZ" w:eastAsia="en-NZ"/>
              </w:rPr>
              <w:t>).</w:t>
            </w:r>
          </w:p>
        </w:tc>
      </w:tr>
      <w:tr w:rsidR="003F22E5" w:rsidRPr="003F22E5" w14:paraId="0BFBF090" w14:textId="77777777" w:rsidTr="37883930">
        <w:trPr>
          <w:cantSplit/>
          <w:trHeight w:val="584"/>
        </w:trPr>
        <w:tc>
          <w:tcPr>
            <w:tcW w:w="2410" w:type="dxa"/>
            <w:shd w:val="clear" w:color="auto" w:fill="ED7D31"/>
            <w:vAlign w:val="center"/>
          </w:tcPr>
          <w:p w14:paraId="4B815EFF" w14:textId="77777777" w:rsidR="003F22E5" w:rsidRPr="00C60DAC" w:rsidRDefault="003F22E5" w:rsidP="00C60DAC">
            <w:pPr>
              <w:jc w:val="center"/>
              <w:rPr>
                <w:b/>
                <w:bCs/>
                <w:lang w:val="en-NZ" w:eastAsia="en-NZ"/>
              </w:rPr>
            </w:pPr>
            <w:r w:rsidRPr="00C60DAC">
              <w:rPr>
                <w:b/>
                <w:bCs/>
                <w:lang w:val="en-NZ" w:eastAsia="en-NZ"/>
              </w:rPr>
              <w:t>ARI SYMPTOMS in HCW working in clinical area</w:t>
            </w:r>
          </w:p>
        </w:tc>
        <w:tc>
          <w:tcPr>
            <w:tcW w:w="12191" w:type="dxa"/>
            <w:shd w:val="clear" w:color="auto" w:fill="D9D9D9" w:themeFill="accent6" w:themeFillShade="D9"/>
            <w:tcMar>
              <w:top w:w="72" w:type="dxa"/>
              <w:left w:w="144" w:type="dxa"/>
              <w:bottom w:w="72" w:type="dxa"/>
              <w:right w:w="144" w:type="dxa"/>
            </w:tcMar>
          </w:tcPr>
          <w:p w14:paraId="3D263B92" w14:textId="77777777" w:rsidR="003F22E5" w:rsidRPr="000F483B" w:rsidRDefault="003F22E5" w:rsidP="00C60DAC">
            <w:pPr>
              <w:pStyle w:val="ListParagraph"/>
              <w:numPr>
                <w:ilvl w:val="0"/>
                <w:numId w:val="13"/>
              </w:numPr>
              <w:ind w:hanging="357"/>
              <w:contextualSpacing w:val="0"/>
              <w:rPr>
                <w:b/>
                <w:bCs/>
                <w:sz w:val="20"/>
                <w:szCs w:val="20"/>
                <w:lang w:val="en-NZ" w:eastAsia="en-NZ"/>
              </w:rPr>
            </w:pPr>
            <w:r w:rsidRPr="000F483B">
              <w:rPr>
                <w:b/>
                <w:bCs/>
                <w:sz w:val="20"/>
                <w:szCs w:val="20"/>
                <w:lang w:val="en-NZ" w:eastAsia="en-NZ"/>
              </w:rPr>
              <w:t>If new ARI symptoms develop:</w:t>
            </w:r>
          </w:p>
          <w:p w14:paraId="7EC82F32" w14:textId="2FAF7107" w:rsidR="003F22E5" w:rsidRPr="000F483B" w:rsidRDefault="003F22E5" w:rsidP="00C60DAC">
            <w:pPr>
              <w:pStyle w:val="ListParagraph"/>
              <w:numPr>
                <w:ilvl w:val="0"/>
                <w:numId w:val="14"/>
              </w:numPr>
              <w:ind w:hanging="357"/>
              <w:contextualSpacing w:val="0"/>
              <w:rPr>
                <w:rFonts w:eastAsia="Yu Mincho"/>
                <w:sz w:val="20"/>
                <w:szCs w:val="20"/>
                <w:lang w:val="en-NZ" w:eastAsia="en-NZ"/>
              </w:rPr>
            </w:pPr>
            <w:r w:rsidRPr="000F483B">
              <w:rPr>
                <w:sz w:val="20"/>
                <w:szCs w:val="20"/>
                <w:lang w:val="en-NZ" w:eastAsia="en-NZ"/>
              </w:rPr>
              <w:t>Stay home if feeling unwell.</w:t>
            </w:r>
          </w:p>
          <w:p w14:paraId="60C7853A" w14:textId="77777777" w:rsidR="003F22E5" w:rsidRPr="000F483B" w:rsidRDefault="003F22E5" w:rsidP="00C60DAC">
            <w:pPr>
              <w:pStyle w:val="ListParagraph"/>
              <w:numPr>
                <w:ilvl w:val="0"/>
                <w:numId w:val="14"/>
              </w:numPr>
              <w:ind w:hanging="357"/>
              <w:contextualSpacing w:val="0"/>
              <w:rPr>
                <w:rFonts w:eastAsia="Yu Mincho"/>
                <w:sz w:val="20"/>
                <w:szCs w:val="20"/>
                <w:lang w:val="en-NZ" w:eastAsia="en-NZ"/>
              </w:rPr>
            </w:pPr>
            <w:r w:rsidRPr="000F483B">
              <w:rPr>
                <w:rFonts w:eastAsia="Yu Mincho"/>
                <w:sz w:val="20"/>
                <w:szCs w:val="20"/>
                <w:lang w:val="en-NZ" w:eastAsia="en-NZ"/>
              </w:rPr>
              <w:t xml:space="preserve">Inform Occupational Health or IPC teams if part of a workplace outbreak/ exposure. </w:t>
            </w:r>
          </w:p>
          <w:p w14:paraId="614EE9D8" w14:textId="77777777" w:rsidR="003F22E5" w:rsidRPr="000F483B" w:rsidRDefault="003F22E5" w:rsidP="00C60DAC">
            <w:pPr>
              <w:pStyle w:val="ListParagraph"/>
              <w:numPr>
                <w:ilvl w:val="0"/>
                <w:numId w:val="14"/>
              </w:numPr>
              <w:ind w:hanging="357"/>
              <w:contextualSpacing w:val="0"/>
              <w:rPr>
                <w:rFonts w:eastAsia="Yu Mincho"/>
                <w:sz w:val="20"/>
                <w:szCs w:val="20"/>
                <w:lang w:val="en-NZ" w:eastAsia="en-NZ"/>
              </w:rPr>
            </w:pPr>
            <w:r w:rsidRPr="000F483B">
              <w:rPr>
                <w:rFonts w:eastAsia="Yu Mincho"/>
                <w:sz w:val="20"/>
                <w:szCs w:val="20"/>
                <w:lang w:val="en-NZ" w:eastAsia="en-NZ"/>
              </w:rPr>
              <w:t>Influenza testing or other testing may be required if indicated by IPC/ Occupational Health / Public Health outbreak management.</w:t>
            </w:r>
          </w:p>
          <w:p w14:paraId="2B6DF343" w14:textId="77777777" w:rsidR="003F22E5" w:rsidRPr="000F483B" w:rsidRDefault="003F22E5" w:rsidP="00C60DAC">
            <w:pPr>
              <w:pStyle w:val="ListParagraph"/>
              <w:numPr>
                <w:ilvl w:val="0"/>
                <w:numId w:val="13"/>
              </w:numPr>
              <w:ind w:hanging="357"/>
              <w:contextualSpacing w:val="0"/>
              <w:rPr>
                <w:b/>
                <w:bCs/>
                <w:sz w:val="20"/>
                <w:szCs w:val="20"/>
                <w:lang w:val="en-NZ" w:eastAsia="en-NZ"/>
              </w:rPr>
            </w:pPr>
            <w:r w:rsidRPr="000F483B">
              <w:rPr>
                <w:b/>
                <w:bCs/>
                <w:sz w:val="20"/>
                <w:szCs w:val="20"/>
                <w:lang w:val="en-NZ" w:eastAsia="en-NZ"/>
              </w:rPr>
              <w:t>Do a RAT immediately:</w:t>
            </w:r>
          </w:p>
          <w:p w14:paraId="341A2B7B" w14:textId="77777777" w:rsidR="003F22E5" w:rsidRPr="000F483B" w:rsidRDefault="003F22E5" w:rsidP="00C60DAC">
            <w:pPr>
              <w:pStyle w:val="ListParagraph"/>
              <w:numPr>
                <w:ilvl w:val="0"/>
                <w:numId w:val="15"/>
              </w:numPr>
              <w:ind w:hanging="357"/>
              <w:contextualSpacing w:val="0"/>
              <w:rPr>
                <w:sz w:val="20"/>
                <w:szCs w:val="20"/>
                <w:lang w:val="en-NZ" w:eastAsia="en-NZ"/>
              </w:rPr>
            </w:pPr>
            <w:r w:rsidRPr="000F483B">
              <w:rPr>
                <w:sz w:val="20"/>
                <w:szCs w:val="20"/>
                <w:lang w:val="en-NZ" w:eastAsia="en-NZ"/>
              </w:rPr>
              <w:t>If RAT positive, follow COVID-19 case pathways below.</w:t>
            </w:r>
          </w:p>
          <w:p w14:paraId="384A2A6C" w14:textId="6856DE32" w:rsidR="00FE3A8B" w:rsidRDefault="003F22E5" w:rsidP="000B497E">
            <w:pPr>
              <w:pStyle w:val="ListParagraph"/>
              <w:numPr>
                <w:ilvl w:val="0"/>
                <w:numId w:val="15"/>
              </w:numPr>
              <w:spacing w:after="40"/>
              <w:ind w:hanging="357"/>
              <w:contextualSpacing w:val="0"/>
              <w:rPr>
                <w:sz w:val="20"/>
                <w:szCs w:val="20"/>
                <w:lang w:val="en-NZ" w:eastAsia="en-NZ"/>
              </w:rPr>
            </w:pPr>
            <w:r w:rsidRPr="000F483B">
              <w:rPr>
                <w:sz w:val="20"/>
                <w:szCs w:val="20"/>
                <w:lang w:val="en-NZ" w:eastAsia="en-NZ"/>
              </w:rPr>
              <w:t>If RAT negative,</w:t>
            </w:r>
            <w:r w:rsidR="000458D1">
              <w:rPr>
                <w:sz w:val="20"/>
                <w:szCs w:val="20"/>
                <w:lang w:val="en-NZ" w:eastAsia="en-NZ"/>
              </w:rPr>
              <w:t xml:space="preserve"> stay home</w:t>
            </w:r>
            <w:r w:rsidR="00E47602">
              <w:rPr>
                <w:sz w:val="20"/>
                <w:szCs w:val="20"/>
                <w:lang w:val="en-NZ" w:eastAsia="en-NZ"/>
              </w:rPr>
              <w:t>.</w:t>
            </w:r>
            <w:r w:rsidR="00A364B2">
              <w:rPr>
                <w:sz w:val="20"/>
                <w:szCs w:val="20"/>
                <w:lang w:val="en-NZ" w:eastAsia="en-NZ"/>
              </w:rPr>
              <w:t xml:space="preserve"> If </w:t>
            </w:r>
            <w:r w:rsidR="001710B7">
              <w:rPr>
                <w:sz w:val="20"/>
                <w:szCs w:val="20"/>
                <w:lang w:val="en-NZ" w:eastAsia="en-NZ"/>
              </w:rPr>
              <w:t xml:space="preserve">ARI </w:t>
            </w:r>
            <w:r w:rsidR="00A364B2">
              <w:rPr>
                <w:sz w:val="20"/>
                <w:szCs w:val="20"/>
                <w:lang w:val="en-NZ" w:eastAsia="en-NZ"/>
              </w:rPr>
              <w:t xml:space="preserve">symptoms </w:t>
            </w:r>
            <w:r w:rsidR="00A364B2" w:rsidRPr="001710B7">
              <w:rPr>
                <w:sz w:val="20"/>
                <w:szCs w:val="20"/>
                <w:u w:val="single"/>
                <w:lang w:val="en-NZ" w:eastAsia="en-NZ"/>
              </w:rPr>
              <w:t>mild and improving</w:t>
            </w:r>
            <w:r w:rsidR="00A364B2">
              <w:rPr>
                <w:sz w:val="20"/>
                <w:szCs w:val="20"/>
                <w:lang w:val="en-NZ" w:eastAsia="en-NZ"/>
              </w:rPr>
              <w:t xml:space="preserve"> within 48 </w:t>
            </w:r>
            <w:r w:rsidR="00DE1293">
              <w:rPr>
                <w:sz w:val="20"/>
                <w:szCs w:val="20"/>
                <w:lang w:val="en-NZ" w:eastAsia="en-NZ"/>
              </w:rPr>
              <w:t>hours,</w:t>
            </w:r>
            <w:r w:rsidR="00A364B2">
              <w:rPr>
                <w:sz w:val="20"/>
                <w:szCs w:val="20"/>
                <w:lang w:val="en-NZ" w:eastAsia="en-NZ"/>
              </w:rPr>
              <w:t xml:space="preserve"> then H</w:t>
            </w:r>
            <w:r w:rsidR="00C65548">
              <w:rPr>
                <w:sz w:val="20"/>
                <w:szCs w:val="20"/>
                <w:lang w:val="en-NZ" w:eastAsia="en-NZ"/>
              </w:rPr>
              <w:t>C</w:t>
            </w:r>
            <w:r w:rsidR="00A364B2">
              <w:rPr>
                <w:sz w:val="20"/>
                <w:szCs w:val="20"/>
                <w:lang w:val="en-NZ" w:eastAsia="en-NZ"/>
              </w:rPr>
              <w:t>W may return to work.</w:t>
            </w:r>
            <w:r w:rsidR="00DE1293">
              <w:rPr>
                <w:sz w:val="20"/>
                <w:szCs w:val="20"/>
                <w:lang w:val="en-NZ" w:eastAsia="en-NZ"/>
              </w:rPr>
              <w:t xml:space="preserve"> </w:t>
            </w:r>
          </w:p>
          <w:p w14:paraId="70B2A9ED" w14:textId="77777777" w:rsidR="001149DB" w:rsidRDefault="00DE1293" w:rsidP="00037068">
            <w:pPr>
              <w:pStyle w:val="ListParagraph"/>
              <w:spacing w:afterLines="60" w:after="144"/>
              <w:contextualSpacing w:val="0"/>
              <w:rPr>
                <w:sz w:val="20"/>
                <w:szCs w:val="20"/>
                <w:lang w:val="en-NZ" w:eastAsia="en-NZ"/>
              </w:rPr>
            </w:pPr>
            <w:r>
              <w:rPr>
                <w:sz w:val="20"/>
                <w:szCs w:val="20"/>
                <w:lang w:val="en-NZ" w:eastAsia="en-NZ"/>
              </w:rPr>
              <w:t>R</w:t>
            </w:r>
            <w:r w:rsidR="003F22E5" w:rsidRPr="000F483B">
              <w:rPr>
                <w:sz w:val="20"/>
                <w:szCs w:val="20"/>
                <w:lang w:val="en-NZ" w:eastAsia="en-NZ"/>
              </w:rPr>
              <w:t xml:space="preserve">etest </w:t>
            </w:r>
            <w:r w:rsidR="003F22E5" w:rsidRPr="000F483B">
              <w:rPr>
                <w:sz w:val="20"/>
                <w:szCs w:val="20"/>
                <w:lang w:val="en-NZ"/>
              </w:rPr>
              <w:t>on</w:t>
            </w:r>
            <w:r w:rsidR="003F22E5" w:rsidRPr="000F483B">
              <w:rPr>
                <w:sz w:val="20"/>
                <w:szCs w:val="20"/>
                <w:lang w:val="en-NZ" w:eastAsia="en-NZ"/>
              </w:rPr>
              <w:t xml:space="preserve"> Day 3 </w:t>
            </w:r>
            <w:r w:rsidR="002E2211">
              <w:rPr>
                <w:sz w:val="20"/>
                <w:szCs w:val="20"/>
                <w:lang w:val="en-NZ" w:eastAsia="en-NZ"/>
              </w:rPr>
              <w:t>if symptoms ongoing</w:t>
            </w:r>
            <w:r w:rsidR="003F22E5" w:rsidRPr="000F483B">
              <w:rPr>
                <w:sz w:val="20"/>
                <w:szCs w:val="20"/>
                <w:lang w:val="en-NZ" w:eastAsia="en-NZ"/>
              </w:rPr>
              <w:t xml:space="preserve">. If this RAT is negative and acute ARI symptoms are </w:t>
            </w:r>
            <w:r w:rsidR="003F22E5" w:rsidRPr="004148C7">
              <w:rPr>
                <w:sz w:val="20"/>
                <w:szCs w:val="20"/>
                <w:u w:val="single"/>
                <w:lang w:val="en-NZ" w:eastAsia="en-NZ"/>
              </w:rPr>
              <w:t>mild</w:t>
            </w:r>
            <w:r w:rsidR="004148C7" w:rsidRPr="004148C7">
              <w:rPr>
                <w:sz w:val="20"/>
                <w:szCs w:val="20"/>
                <w:u w:val="single"/>
                <w:lang w:val="en-NZ" w:eastAsia="en-NZ"/>
              </w:rPr>
              <w:t xml:space="preserve"> </w:t>
            </w:r>
            <w:r w:rsidR="003F22E5" w:rsidRPr="004148C7">
              <w:rPr>
                <w:sz w:val="20"/>
                <w:szCs w:val="20"/>
                <w:u w:val="single"/>
                <w:lang w:val="en-NZ" w:eastAsia="en-NZ"/>
              </w:rPr>
              <w:t>and improving</w:t>
            </w:r>
            <w:r w:rsidR="003F22E5" w:rsidRPr="000F483B">
              <w:rPr>
                <w:sz w:val="20"/>
                <w:szCs w:val="20"/>
                <w:lang w:val="en-NZ" w:eastAsia="en-NZ"/>
              </w:rPr>
              <w:t>,</w:t>
            </w:r>
            <w:r w:rsidR="00F85FCE">
              <w:rPr>
                <w:sz w:val="20"/>
                <w:szCs w:val="20"/>
                <w:lang w:val="en-NZ" w:eastAsia="en-NZ"/>
              </w:rPr>
              <w:t xml:space="preserve"> </w:t>
            </w:r>
            <w:r w:rsidR="003F22E5" w:rsidRPr="000F483B">
              <w:rPr>
                <w:sz w:val="20"/>
                <w:szCs w:val="20"/>
                <w:lang w:val="en-NZ" w:eastAsia="en-NZ"/>
              </w:rPr>
              <w:t xml:space="preserve">then HCW may return to work if well enough and able to wear </w:t>
            </w:r>
            <w:r w:rsidR="00FE393C" w:rsidRPr="00FE393C">
              <w:rPr>
                <w:rFonts w:eastAsia="Calibri"/>
                <w:sz w:val="20"/>
                <w:szCs w:val="20"/>
                <w:lang w:val="en-NZ" w:eastAsia="en-NZ"/>
              </w:rPr>
              <w:t>a well-fitting medical mask</w:t>
            </w:r>
            <w:r w:rsidR="00FE393C" w:rsidRPr="00FE393C">
              <w:rPr>
                <w:vertAlign w:val="superscript"/>
                <w:lang w:val="en-NZ" w:eastAsia="en-NZ"/>
              </w:rPr>
              <w:footnoteReference w:id="2"/>
            </w:r>
            <w:r w:rsidR="00FE393C" w:rsidRPr="00FE393C">
              <w:rPr>
                <w:sz w:val="20"/>
                <w:szCs w:val="20"/>
                <w:lang w:val="en-NZ" w:eastAsia="en-NZ"/>
              </w:rPr>
              <w:t xml:space="preserve"> </w:t>
            </w:r>
            <w:r w:rsidR="003E5B57" w:rsidRPr="00FE393C">
              <w:rPr>
                <w:sz w:val="20"/>
                <w:szCs w:val="20"/>
                <w:lang w:val="en-NZ" w:eastAsia="en-NZ"/>
              </w:rPr>
              <w:t>at all times</w:t>
            </w:r>
            <w:r w:rsidR="003F22E5" w:rsidRPr="00FE393C">
              <w:rPr>
                <w:sz w:val="20"/>
                <w:szCs w:val="20"/>
                <w:lang w:val="en-NZ" w:eastAsia="en-NZ"/>
              </w:rPr>
              <w:t>.</w:t>
            </w:r>
            <w:r w:rsidR="00037068" w:rsidRPr="00FE393C">
              <w:rPr>
                <w:sz w:val="20"/>
                <w:szCs w:val="20"/>
                <w:lang w:val="en-NZ" w:eastAsia="en-NZ"/>
              </w:rPr>
              <w:t xml:space="preserve"> </w:t>
            </w:r>
          </w:p>
          <w:p w14:paraId="66AD118D" w14:textId="107B993E" w:rsidR="003F22E5" w:rsidRPr="00037068" w:rsidRDefault="00FE393C" w:rsidP="001149DB">
            <w:pPr>
              <w:pStyle w:val="ListParagraph"/>
              <w:numPr>
                <w:ilvl w:val="0"/>
                <w:numId w:val="15"/>
              </w:numPr>
              <w:spacing w:afterLines="60" w:after="144"/>
              <w:contextualSpacing w:val="0"/>
              <w:rPr>
                <w:sz w:val="20"/>
                <w:szCs w:val="20"/>
                <w:lang w:val="en-NZ" w:eastAsia="en-NZ"/>
              </w:rPr>
            </w:pPr>
            <w:r w:rsidRPr="00FE393C">
              <w:rPr>
                <w:sz w:val="20"/>
                <w:szCs w:val="20"/>
                <w:lang w:val="en-NZ" w:eastAsia="en-NZ"/>
              </w:rPr>
              <w:t>C</w:t>
            </w:r>
            <w:r w:rsidR="003403A7" w:rsidRPr="00FE393C">
              <w:rPr>
                <w:rFonts w:eastAsia="Calibri"/>
                <w:sz w:val="20"/>
                <w:szCs w:val="20"/>
                <w:lang w:val="en-NZ" w:eastAsia="en-NZ"/>
              </w:rPr>
              <w:t>onsider wearing a P2/N95 particulate respirator</w:t>
            </w:r>
            <w:r w:rsidR="001F0DDA">
              <w:rPr>
                <w:rStyle w:val="FootnoteReference"/>
                <w:rFonts w:eastAsia="Calibri"/>
                <w:sz w:val="20"/>
                <w:szCs w:val="20"/>
                <w:lang w:val="en-NZ" w:eastAsia="en-NZ"/>
              </w:rPr>
              <w:footnoteReference w:id="3"/>
            </w:r>
            <w:r w:rsidR="003403A7" w:rsidRPr="00FE393C">
              <w:rPr>
                <w:rFonts w:eastAsia="Calibri"/>
                <w:sz w:val="20"/>
                <w:szCs w:val="20"/>
                <w:lang w:val="en-NZ" w:eastAsia="en-NZ"/>
              </w:rPr>
              <w:t xml:space="preserve"> if working with vulnerable patients or working in a high-risk area </w:t>
            </w:r>
            <w:r w:rsidR="003F22E5" w:rsidRPr="00FE393C">
              <w:rPr>
                <w:rFonts w:eastAsia="Calibri"/>
                <w:sz w:val="20"/>
                <w:szCs w:val="20"/>
                <w:lang w:val="en-NZ" w:eastAsia="en-NZ"/>
              </w:rPr>
              <w:t>until day 10 after symptoms started and as per workplace policy.</w:t>
            </w:r>
          </w:p>
          <w:p w14:paraId="686F2C1B" w14:textId="5CF77885" w:rsidR="00AE2533" w:rsidRPr="00620315" w:rsidDel="007C09C6" w:rsidRDefault="003F22E5" w:rsidP="00620315">
            <w:pPr>
              <w:rPr>
                <w:b/>
                <w:bCs/>
                <w:sz w:val="20"/>
                <w:szCs w:val="20"/>
                <w:lang w:val="en-NZ" w:eastAsia="en-NZ"/>
              </w:rPr>
            </w:pPr>
            <w:r w:rsidRPr="000F483B">
              <w:rPr>
                <w:b/>
                <w:bCs/>
                <w:sz w:val="20"/>
                <w:szCs w:val="20"/>
                <w:lang w:val="en-NZ" w:eastAsia="en-NZ"/>
              </w:rPr>
              <w:t xml:space="preserve">If history of asthma or </w:t>
            </w:r>
            <w:proofErr w:type="spellStart"/>
            <w:r w:rsidRPr="000F483B">
              <w:rPr>
                <w:b/>
                <w:bCs/>
                <w:sz w:val="20"/>
                <w:szCs w:val="20"/>
                <w:lang w:val="en-NZ" w:eastAsia="en-NZ"/>
              </w:rPr>
              <w:t>hayfever</w:t>
            </w:r>
            <w:proofErr w:type="spellEnd"/>
            <w:r w:rsidRPr="000F483B">
              <w:rPr>
                <w:b/>
                <w:bCs/>
                <w:sz w:val="20"/>
                <w:szCs w:val="20"/>
                <w:lang w:val="en-NZ" w:eastAsia="en-NZ"/>
              </w:rPr>
              <w:t xml:space="preserve"> and d</w:t>
            </w:r>
            <w:r w:rsidRPr="000F483B">
              <w:rPr>
                <w:b/>
                <w:bCs/>
                <w:sz w:val="20"/>
                <w:szCs w:val="20"/>
                <w:lang w:val="en-NZ"/>
              </w:rPr>
              <w:t>evelop</w:t>
            </w:r>
            <w:r w:rsidRPr="000F483B">
              <w:rPr>
                <w:b/>
                <w:bCs/>
                <w:sz w:val="20"/>
                <w:szCs w:val="20"/>
                <w:lang w:val="en-NZ" w:eastAsia="en-NZ"/>
              </w:rPr>
              <w:t xml:space="preserve"> usual mild symptoms:</w:t>
            </w:r>
            <w:r w:rsidR="00620315">
              <w:rPr>
                <w:b/>
                <w:bCs/>
                <w:sz w:val="20"/>
                <w:szCs w:val="20"/>
                <w:lang w:val="en-NZ" w:eastAsia="en-NZ"/>
              </w:rPr>
              <w:t xml:space="preserve"> </w:t>
            </w:r>
            <w:r w:rsidRPr="00620315">
              <w:rPr>
                <w:sz w:val="20"/>
                <w:szCs w:val="20"/>
                <w:lang w:val="en-NZ" w:eastAsia="en-NZ"/>
              </w:rPr>
              <w:t xml:space="preserve">Do a RAT immediately if negative, can continue working. </w:t>
            </w:r>
          </w:p>
        </w:tc>
      </w:tr>
      <w:tr w:rsidR="003F22E5" w:rsidRPr="003F22E5" w14:paraId="5475A729" w14:textId="77777777" w:rsidTr="37883930">
        <w:trPr>
          <w:cantSplit/>
          <w:trHeight w:val="584"/>
        </w:trPr>
        <w:tc>
          <w:tcPr>
            <w:tcW w:w="2410" w:type="dxa"/>
            <w:shd w:val="clear" w:color="auto" w:fill="F36279"/>
            <w:vAlign w:val="center"/>
          </w:tcPr>
          <w:p w14:paraId="5B48753D" w14:textId="77777777" w:rsidR="003F22E5" w:rsidRPr="00C60DAC" w:rsidRDefault="003F22E5" w:rsidP="00C60DAC">
            <w:pPr>
              <w:jc w:val="center"/>
              <w:rPr>
                <w:b/>
                <w:bCs/>
                <w:lang w:val="en-NZ" w:eastAsia="en-NZ"/>
              </w:rPr>
            </w:pPr>
            <w:r w:rsidRPr="00C60DAC">
              <w:rPr>
                <w:b/>
                <w:bCs/>
                <w:lang w:val="en-NZ" w:eastAsia="en-NZ"/>
              </w:rPr>
              <w:lastRenderedPageBreak/>
              <w:t>COVID-19 Case in HCW working in clinical zone</w:t>
            </w:r>
          </w:p>
          <w:p w14:paraId="05C69675" w14:textId="77777777" w:rsidR="003F22E5" w:rsidRPr="00C60DAC" w:rsidRDefault="003F22E5" w:rsidP="00C60DAC">
            <w:pPr>
              <w:jc w:val="center"/>
              <w:rPr>
                <w:b/>
                <w:bCs/>
                <w:lang w:val="en-NZ" w:eastAsia="en-NZ"/>
              </w:rPr>
            </w:pPr>
          </w:p>
          <w:p w14:paraId="3B4B92B9" w14:textId="77777777" w:rsidR="000B224D" w:rsidRDefault="003F22E5" w:rsidP="000B224D">
            <w:pPr>
              <w:contextualSpacing/>
              <w:jc w:val="center"/>
              <w:rPr>
                <w:b/>
                <w:bCs/>
                <w:lang w:val="en-NZ" w:eastAsia="en-NZ"/>
              </w:rPr>
            </w:pPr>
            <w:r w:rsidRPr="00C60DAC">
              <w:rPr>
                <w:b/>
                <w:bCs/>
                <w:lang w:val="en-NZ" w:eastAsia="en-NZ"/>
              </w:rPr>
              <w:t xml:space="preserve">Case confirmed on RAT/ PCR if no </w:t>
            </w:r>
          </w:p>
          <w:p w14:paraId="2E86AC32" w14:textId="352DDB87" w:rsidR="003F22E5" w:rsidRPr="003F22E5" w:rsidRDefault="003F22E5" w:rsidP="000B224D">
            <w:pPr>
              <w:contextualSpacing/>
              <w:jc w:val="center"/>
              <w:rPr>
                <w:lang w:val="en-NZ" w:eastAsia="en-NZ"/>
              </w:rPr>
            </w:pPr>
            <w:r w:rsidRPr="00C60DAC">
              <w:rPr>
                <w:b/>
                <w:bCs/>
                <w:lang w:val="en-NZ" w:eastAsia="en-NZ"/>
              </w:rPr>
              <w:t>COVID-19 in prior 3 months</w:t>
            </w:r>
          </w:p>
        </w:tc>
        <w:tc>
          <w:tcPr>
            <w:tcW w:w="12191" w:type="dxa"/>
            <w:shd w:val="clear" w:color="auto" w:fill="D9D9D9" w:themeFill="accent6" w:themeFillShade="D9"/>
            <w:tcMar>
              <w:top w:w="72" w:type="dxa"/>
              <w:left w:w="144" w:type="dxa"/>
              <w:bottom w:w="72" w:type="dxa"/>
              <w:right w:w="144" w:type="dxa"/>
            </w:tcMar>
          </w:tcPr>
          <w:p w14:paraId="5FA7B739" w14:textId="3F508FCC" w:rsidR="675CF5C1" w:rsidRDefault="675CF5C1" w:rsidP="67EDFB63">
            <w:pPr>
              <w:pStyle w:val="ListParagraph"/>
              <w:numPr>
                <w:ilvl w:val="0"/>
                <w:numId w:val="11"/>
              </w:numPr>
              <w:ind w:left="357" w:hanging="357"/>
              <w:rPr>
                <w:b/>
                <w:bCs/>
                <w:sz w:val="20"/>
                <w:szCs w:val="20"/>
                <w:lang w:val="en-NZ" w:eastAsia="en-NZ"/>
              </w:rPr>
            </w:pPr>
            <w:r w:rsidRPr="67EDFB63">
              <w:rPr>
                <w:b/>
                <w:bCs/>
                <w:sz w:val="20"/>
                <w:szCs w:val="20"/>
                <w:lang w:val="en-NZ" w:eastAsia="en-NZ"/>
              </w:rPr>
              <w:t>Stay at home</w:t>
            </w:r>
          </w:p>
          <w:p w14:paraId="7F88BBA6" w14:textId="77777777" w:rsidR="003F22E5" w:rsidRPr="000F483B" w:rsidRDefault="003F22E5" w:rsidP="00463EBD">
            <w:pPr>
              <w:pStyle w:val="ListParagraph"/>
              <w:numPr>
                <w:ilvl w:val="0"/>
                <w:numId w:val="11"/>
              </w:numPr>
              <w:ind w:left="357" w:hanging="357"/>
              <w:contextualSpacing w:val="0"/>
              <w:rPr>
                <w:b/>
                <w:bCs/>
                <w:sz w:val="20"/>
                <w:szCs w:val="20"/>
                <w:lang w:val="en-NZ" w:eastAsia="en-NZ"/>
              </w:rPr>
            </w:pPr>
            <w:r w:rsidRPr="000F483B">
              <w:rPr>
                <w:b/>
                <w:bCs/>
                <w:sz w:val="20"/>
                <w:szCs w:val="20"/>
                <w:lang w:val="en-NZ" w:eastAsia="en-NZ"/>
              </w:rPr>
              <w:t xml:space="preserve">Report COVID-19 on </w:t>
            </w:r>
            <w:hyperlink r:id="rId18" w:history="1">
              <w:r w:rsidR="006B0EEB" w:rsidRPr="000F483B">
                <w:rPr>
                  <w:b/>
                  <w:bCs/>
                  <w:color w:val="0563C1"/>
                  <w:sz w:val="20"/>
                  <w:szCs w:val="20"/>
                  <w:u w:val="single"/>
                  <w:lang w:val="en-NZ"/>
                </w:rPr>
                <w:t>Health NZ/My Health Record</w:t>
              </w:r>
            </w:hyperlink>
          </w:p>
          <w:p w14:paraId="3B93C611" w14:textId="77777777" w:rsidR="003F22E5" w:rsidRPr="0075682C" w:rsidRDefault="003F22E5" w:rsidP="00463EBD">
            <w:pPr>
              <w:pStyle w:val="ListParagraph"/>
              <w:numPr>
                <w:ilvl w:val="0"/>
                <w:numId w:val="11"/>
              </w:numPr>
              <w:ind w:left="357" w:hanging="357"/>
              <w:contextualSpacing w:val="0"/>
              <w:rPr>
                <w:b/>
                <w:bCs/>
                <w:sz w:val="20"/>
                <w:szCs w:val="20"/>
                <w:lang w:val="en-NZ" w:eastAsia="en-NZ"/>
              </w:rPr>
            </w:pPr>
            <w:r w:rsidRPr="000F483B">
              <w:rPr>
                <w:b/>
                <w:bCs/>
                <w:sz w:val="20"/>
                <w:szCs w:val="20"/>
                <w:lang w:val="en-NZ" w:eastAsia="en-NZ"/>
              </w:rPr>
              <w:t xml:space="preserve">Test </w:t>
            </w:r>
            <w:r w:rsidRPr="0075682C">
              <w:rPr>
                <w:b/>
                <w:bCs/>
                <w:sz w:val="20"/>
                <w:szCs w:val="20"/>
                <w:lang w:val="en-NZ" w:eastAsia="en-NZ"/>
              </w:rPr>
              <w:t>as per return-to-work pathways:</w:t>
            </w:r>
          </w:p>
          <w:p w14:paraId="2F225045" w14:textId="6CBDAAEC" w:rsidR="00D81976" w:rsidRPr="00AF2209" w:rsidRDefault="003F22E5" w:rsidP="0075682C">
            <w:pPr>
              <w:pStyle w:val="ListParagraph"/>
              <w:numPr>
                <w:ilvl w:val="0"/>
                <w:numId w:val="19"/>
              </w:numPr>
              <w:spacing w:after="120"/>
              <w:contextualSpacing w:val="0"/>
              <w:rPr>
                <w:b/>
                <w:bCs/>
                <w:sz w:val="20"/>
                <w:szCs w:val="20"/>
                <w:lang w:val="en-NZ" w:eastAsia="en-NZ"/>
              </w:rPr>
            </w:pPr>
            <w:r w:rsidRPr="00AF2209">
              <w:rPr>
                <w:b/>
                <w:bCs/>
                <w:color w:val="000000"/>
                <w:sz w:val="20"/>
                <w:szCs w:val="20"/>
                <w:lang w:val="en-NZ" w:eastAsia="en-NZ"/>
              </w:rPr>
              <w:t xml:space="preserve">RAT becomes negative pathway </w:t>
            </w:r>
          </w:p>
          <w:p w14:paraId="526E3597" w14:textId="77777777" w:rsidR="003F22E5" w:rsidRPr="0075682C" w:rsidRDefault="003F22E5" w:rsidP="0009272D">
            <w:pPr>
              <w:pStyle w:val="ListParagraph"/>
              <w:spacing w:after="120"/>
              <w:contextualSpacing w:val="0"/>
              <w:rPr>
                <w:sz w:val="20"/>
                <w:szCs w:val="20"/>
                <w:lang w:val="en-NZ" w:eastAsia="en-NZ"/>
              </w:rPr>
            </w:pPr>
            <w:r w:rsidRPr="0075682C">
              <w:rPr>
                <w:color w:val="000000"/>
                <w:sz w:val="20"/>
                <w:szCs w:val="20"/>
                <w:lang w:val="en-NZ" w:eastAsia="en-NZ"/>
              </w:rPr>
              <w:t>If asymptomatic or mildly symptomatic &amp; RATs available, then t</w:t>
            </w:r>
            <w:r w:rsidRPr="0075682C">
              <w:rPr>
                <w:sz w:val="20"/>
                <w:szCs w:val="20"/>
                <w:lang w:val="en-NZ" w:eastAsia="en-NZ"/>
              </w:rPr>
              <w:t xml:space="preserve">est daily from day 3. May return to work from day 4 if 2 consecutive RATs are negative. </w:t>
            </w:r>
          </w:p>
          <w:p w14:paraId="690AC97B" w14:textId="59E23819" w:rsidR="00D81976" w:rsidRPr="0075682C" w:rsidRDefault="003F22E5" w:rsidP="0075682C">
            <w:pPr>
              <w:pStyle w:val="ListParagraph"/>
              <w:numPr>
                <w:ilvl w:val="0"/>
                <w:numId w:val="19"/>
              </w:numPr>
              <w:spacing w:after="120"/>
              <w:contextualSpacing w:val="0"/>
              <w:rPr>
                <w:b/>
                <w:bCs/>
                <w:color w:val="000000"/>
                <w:sz w:val="20"/>
                <w:szCs w:val="20"/>
                <w:lang w:val="en-NZ" w:eastAsia="en-NZ"/>
              </w:rPr>
            </w:pPr>
            <w:r w:rsidRPr="0075682C">
              <w:rPr>
                <w:b/>
                <w:bCs/>
                <w:color w:val="000000"/>
                <w:sz w:val="20"/>
                <w:szCs w:val="20"/>
                <w:lang w:val="en-NZ" w:eastAsia="en-NZ"/>
              </w:rPr>
              <w:t xml:space="preserve">RAT remains positive pathway </w:t>
            </w:r>
          </w:p>
          <w:p w14:paraId="5DE0558A" w14:textId="77777777" w:rsidR="003F22E5" w:rsidRPr="000F483B" w:rsidRDefault="003F22E5" w:rsidP="0009272D">
            <w:pPr>
              <w:pStyle w:val="ListParagraph"/>
              <w:spacing w:after="120"/>
              <w:contextualSpacing w:val="0"/>
              <w:rPr>
                <w:color w:val="000000"/>
                <w:sz w:val="20"/>
                <w:szCs w:val="20"/>
                <w:lang w:val="en-NZ" w:eastAsia="en-NZ"/>
              </w:rPr>
            </w:pPr>
            <w:r w:rsidRPr="000F483B">
              <w:rPr>
                <w:color w:val="000000"/>
                <w:sz w:val="20"/>
                <w:szCs w:val="20"/>
                <w:lang w:val="en-NZ" w:eastAsia="en-NZ"/>
              </w:rPr>
              <w:t xml:space="preserve">If </w:t>
            </w:r>
            <w:r w:rsidRPr="0075682C">
              <w:rPr>
                <w:color w:val="000000"/>
                <w:sz w:val="20"/>
                <w:szCs w:val="20"/>
                <w:u w:val="single"/>
                <w:lang w:val="en-NZ" w:eastAsia="en-NZ"/>
              </w:rPr>
              <w:t>mild or no symptoms</w:t>
            </w:r>
            <w:r w:rsidRPr="000F483B">
              <w:rPr>
                <w:color w:val="000000"/>
                <w:sz w:val="20"/>
                <w:szCs w:val="20"/>
                <w:lang w:val="en-NZ" w:eastAsia="en-NZ"/>
              </w:rPr>
              <w:t xml:space="preserve"> and feeling well enough, can return to work from day 8 (even if RAT positive).</w:t>
            </w:r>
          </w:p>
          <w:p w14:paraId="023E7185" w14:textId="52C19D89" w:rsidR="003F22E5" w:rsidRPr="00E47602" w:rsidRDefault="003F22E5" w:rsidP="00E47602">
            <w:pPr>
              <w:pStyle w:val="ListParagraph"/>
              <w:numPr>
                <w:ilvl w:val="0"/>
                <w:numId w:val="11"/>
              </w:numPr>
              <w:rPr>
                <w:b/>
                <w:bCs/>
                <w:sz w:val="20"/>
                <w:szCs w:val="20"/>
                <w:lang w:val="en-NZ" w:eastAsia="en-NZ"/>
              </w:rPr>
            </w:pPr>
            <w:r w:rsidRPr="00E47602">
              <w:rPr>
                <w:b/>
                <w:bCs/>
                <w:sz w:val="20"/>
                <w:szCs w:val="20"/>
                <w:lang w:val="en-NZ" w:eastAsia="en-NZ"/>
              </w:rPr>
              <w:t>Adhere to the following precautions up to Day 10:</w:t>
            </w:r>
          </w:p>
          <w:p w14:paraId="30959B63" w14:textId="77777777" w:rsidR="003F22E5" w:rsidRPr="000F483B" w:rsidRDefault="003F22E5" w:rsidP="0009272D">
            <w:pPr>
              <w:pStyle w:val="ListParagraph"/>
              <w:numPr>
                <w:ilvl w:val="0"/>
                <w:numId w:val="18"/>
              </w:numPr>
              <w:spacing w:after="120"/>
              <w:ind w:left="714" w:hanging="357"/>
              <w:contextualSpacing w:val="0"/>
              <w:rPr>
                <w:sz w:val="20"/>
                <w:szCs w:val="20"/>
                <w:lang w:val="en-NZ" w:eastAsia="en-NZ"/>
              </w:rPr>
            </w:pPr>
            <w:r w:rsidRPr="000F483B">
              <w:rPr>
                <w:sz w:val="20"/>
                <w:szCs w:val="20"/>
                <w:lang w:val="en-NZ" w:eastAsia="en-NZ"/>
              </w:rPr>
              <w:t>Wear a well-fitting medical mask</w:t>
            </w:r>
            <w:r w:rsidRPr="000F483B">
              <w:rPr>
                <w:sz w:val="20"/>
                <w:szCs w:val="20"/>
                <w:vertAlign w:val="superscript"/>
                <w:lang w:val="en-NZ" w:eastAsia="en-NZ"/>
              </w:rPr>
              <w:footnoteReference w:id="4"/>
            </w:r>
            <w:r w:rsidRPr="000F483B">
              <w:rPr>
                <w:sz w:val="20"/>
                <w:szCs w:val="20"/>
                <w:lang w:val="en-NZ" w:eastAsia="en-NZ"/>
              </w:rPr>
              <w:t xml:space="preserve"> at all times or consider wearing a P2/N95 particulate respirator if working with vulnerable patients or working in a high-risk area and adhere to all other IPC measures. </w:t>
            </w:r>
          </w:p>
          <w:p w14:paraId="7676F4EA" w14:textId="77777777" w:rsidR="003F22E5" w:rsidRPr="000F483B" w:rsidRDefault="003F22E5" w:rsidP="0009272D">
            <w:pPr>
              <w:pStyle w:val="ListParagraph"/>
              <w:numPr>
                <w:ilvl w:val="0"/>
                <w:numId w:val="18"/>
              </w:numPr>
              <w:spacing w:after="120"/>
              <w:ind w:left="714" w:hanging="357"/>
              <w:contextualSpacing w:val="0"/>
              <w:rPr>
                <w:sz w:val="20"/>
                <w:szCs w:val="20"/>
                <w:lang w:val="en-NZ" w:eastAsia="en-NZ"/>
              </w:rPr>
            </w:pPr>
            <w:r w:rsidRPr="000F483B">
              <w:rPr>
                <w:sz w:val="20"/>
                <w:szCs w:val="20"/>
                <w:lang w:val="en-NZ" w:eastAsia="en-NZ"/>
              </w:rPr>
              <w:t>Maintain distance from others in shared break and eating areas.</w:t>
            </w:r>
          </w:p>
          <w:p w14:paraId="4C9E9E95" w14:textId="18E84410" w:rsidR="003F22E5" w:rsidRPr="000F483B" w:rsidRDefault="003F22E5" w:rsidP="0009272D">
            <w:pPr>
              <w:pStyle w:val="ListParagraph"/>
              <w:numPr>
                <w:ilvl w:val="0"/>
                <w:numId w:val="18"/>
              </w:numPr>
              <w:spacing w:after="120"/>
              <w:ind w:left="714" w:hanging="357"/>
              <w:contextualSpacing w:val="0"/>
              <w:rPr>
                <w:sz w:val="20"/>
                <w:szCs w:val="20"/>
                <w:lang w:val="en-NZ" w:eastAsia="en-NZ"/>
              </w:rPr>
            </w:pPr>
            <w:r w:rsidRPr="000F483B">
              <w:rPr>
                <w:sz w:val="20"/>
                <w:szCs w:val="20"/>
                <w:lang w:val="en-NZ" w:eastAsia="en-NZ"/>
              </w:rPr>
              <w:t>If usually working in a higher risk patient area, consider redeployment or wearing a P2/N95 particulate respirator</w:t>
            </w:r>
            <w:r w:rsidR="008A46F7" w:rsidRPr="000F483B">
              <w:rPr>
                <w:sz w:val="20"/>
                <w:szCs w:val="20"/>
                <w:vertAlign w:val="superscript"/>
                <w:lang w:val="en-NZ" w:eastAsia="en-NZ"/>
              </w:rPr>
              <w:footnoteReference w:id="5"/>
            </w:r>
            <w:r w:rsidR="008A46F7" w:rsidRPr="000F483B">
              <w:rPr>
                <w:sz w:val="20"/>
                <w:szCs w:val="20"/>
                <w:lang w:val="en-NZ" w:eastAsia="en-NZ"/>
              </w:rPr>
              <w:t xml:space="preserve"> </w:t>
            </w:r>
            <w:r w:rsidRPr="000F483B">
              <w:rPr>
                <w:sz w:val="20"/>
                <w:szCs w:val="20"/>
                <w:lang w:val="en-NZ" w:eastAsia="en-NZ"/>
              </w:rPr>
              <w:t xml:space="preserve">at all times. </w:t>
            </w:r>
          </w:p>
          <w:p w14:paraId="7C36916B" w14:textId="2914A8E5" w:rsidR="003F22E5" w:rsidRPr="000F483B" w:rsidRDefault="003F22E5" w:rsidP="00044F3F">
            <w:pPr>
              <w:spacing w:after="0"/>
              <w:rPr>
                <w:sz w:val="20"/>
                <w:szCs w:val="20"/>
                <w:lang w:val="en-NZ" w:eastAsia="en-NZ"/>
              </w:rPr>
            </w:pPr>
            <w:r w:rsidRPr="000F483B">
              <w:rPr>
                <w:sz w:val="20"/>
                <w:szCs w:val="20"/>
                <w:lang w:val="en-NZ"/>
              </w:rPr>
              <w:t xml:space="preserve">NB. These pathways should not be taken to imply there is a compulsion to return to work before the healthcare worker is well enough </w:t>
            </w:r>
            <w:r w:rsidR="00620315">
              <w:rPr>
                <w:sz w:val="20"/>
                <w:szCs w:val="20"/>
                <w:lang w:val="en-NZ"/>
              </w:rPr>
              <w:t>to do so</w:t>
            </w:r>
            <w:r w:rsidRPr="000F483B">
              <w:rPr>
                <w:sz w:val="20"/>
                <w:szCs w:val="20"/>
                <w:lang w:val="en-NZ"/>
              </w:rPr>
              <w:t>; in some situations, limited duties may be appropriate</w:t>
            </w:r>
            <w:r w:rsidRPr="000F483B">
              <w:rPr>
                <w:sz w:val="20"/>
                <w:szCs w:val="20"/>
                <w:lang w:val="en-NZ" w:eastAsia="en-NZ"/>
              </w:rPr>
              <w:t>.</w:t>
            </w:r>
          </w:p>
        </w:tc>
      </w:tr>
      <w:tr w:rsidR="003F22E5" w:rsidRPr="003F22E5" w14:paraId="1DFEE15E" w14:textId="77777777" w:rsidTr="37883930">
        <w:trPr>
          <w:cantSplit/>
          <w:trHeight w:val="1337"/>
        </w:trPr>
        <w:tc>
          <w:tcPr>
            <w:tcW w:w="2410" w:type="dxa"/>
            <w:shd w:val="clear" w:color="auto" w:fill="1B83A0"/>
            <w:vAlign w:val="center"/>
          </w:tcPr>
          <w:p w14:paraId="75AE693A" w14:textId="77777777" w:rsidR="000B224D" w:rsidRDefault="003F22E5" w:rsidP="00044F3F">
            <w:pPr>
              <w:spacing w:after="0"/>
              <w:jc w:val="center"/>
              <w:rPr>
                <w:b/>
                <w:bCs/>
                <w:lang w:val="en-NZ" w:eastAsia="en-NZ"/>
              </w:rPr>
            </w:pPr>
            <w:r w:rsidRPr="00D81976">
              <w:rPr>
                <w:b/>
                <w:bCs/>
                <w:lang w:val="en-NZ" w:eastAsia="en-NZ"/>
              </w:rPr>
              <w:t xml:space="preserve">Influenza Case in </w:t>
            </w:r>
          </w:p>
          <w:p w14:paraId="409AC24F" w14:textId="6ECE26AB" w:rsidR="003F22E5" w:rsidRPr="00D81976" w:rsidRDefault="003F22E5" w:rsidP="00044F3F">
            <w:pPr>
              <w:spacing w:after="0"/>
              <w:jc w:val="center"/>
              <w:rPr>
                <w:b/>
                <w:bCs/>
                <w:lang w:val="en-NZ" w:eastAsia="en-NZ"/>
              </w:rPr>
            </w:pPr>
            <w:r w:rsidRPr="00D81976">
              <w:rPr>
                <w:b/>
                <w:bCs/>
                <w:lang w:val="en-NZ" w:eastAsia="en-NZ"/>
              </w:rPr>
              <w:t>HCW working in clinical zone</w:t>
            </w:r>
          </w:p>
        </w:tc>
        <w:tc>
          <w:tcPr>
            <w:tcW w:w="12191" w:type="dxa"/>
            <w:shd w:val="clear" w:color="auto" w:fill="D9D9D9" w:themeFill="accent6" w:themeFillShade="D9"/>
            <w:tcMar>
              <w:top w:w="72" w:type="dxa"/>
              <w:left w:w="144" w:type="dxa"/>
              <w:bottom w:w="72" w:type="dxa"/>
              <w:right w:w="144" w:type="dxa"/>
            </w:tcMar>
          </w:tcPr>
          <w:p w14:paraId="0C1D388E" w14:textId="77777777" w:rsidR="003F22E5" w:rsidRPr="000F483B" w:rsidRDefault="003F22E5" w:rsidP="0009272D">
            <w:pPr>
              <w:pStyle w:val="ListParagraph"/>
              <w:numPr>
                <w:ilvl w:val="0"/>
                <w:numId w:val="10"/>
              </w:numPr>
              <w:spacing w:after="120"/>
              <w:rPr>
                <w:sz w:val="20"/>
                <w:szCs w:val="20"/>
                <w:lang w:val="en-NZ" w:eastAsia="en-NZ"/>
              </w:rPr>
            </w:pPr>
            <w:r w:rsidRPr="000F483B">
              <w:rPr>
                <w:sz w:val="20"/>
                <w:szCs w:val="20"/>
                <w:lang w:val="en-NZ" w:eastAsia="en-NZ"/>
              </w:rPr>
              <w:t>Test HCWs for influenza if part of contact tracing as directed by IPC/ OH.</w:t>
            </w:r>
          </w:p>
          <w:p w14:paraId="580F499F" w14:textId="77777777" w:rsidR="003F22E5" w:rsidRPr="000F483B" w:rsidRDefault="003F22E5" w:rsidP="0009272D">
            <w:pPr>
              <w:pStyle w:val="ListParagraph"/>
              <w:numPr>
                <w:ilvl w:val="0"/>
                <w:numId w:val="10"/>
              </w:numPr>
              <w:spacing w:after="120"/>
              <w:rPr>
                <w:sz w:val="20"/>
                <w:szCs w:val="20"/>
                <w:lang w:val="en-NZ" w:eastAsia="en-NZ"/>
              </w:rPr>
            </w:pPr>
            <w:r w:rsidRPr="000F483B">
              <w:rPr>
                <w:sz w:val="20"/>
                <w:szCs w:val="20"/>
                <w:lang w:val="en-NZ" w:eastAsia="en-NZ"/>
              </w:rPr>
              <w:t>Test HCWs for influenza who are immune-compromised or pregnant.</w:t>
            </w:r>
          </w:p>
          <w:p w14:paraId="5D882EC7" w14:textId="1E806F49" w:rsidR="003F22E5" w:rsidRPr="000F483B" w:rsidRDefault="003F22E5" w:rsidP="0009272D">
            <w:pPr>
              <w:spacing w:after="120"/>
              <w:rPr>
                <w:b/>
                <w:bCs/>
                <w:sz w:val="20"/>
                <w:szCs w:val="20"/>
                <w:lang w:val="en-NZ" w:eastAsia="en-NZ"/>
              </w:rPr>
            </w:pPr>
            <w:r w:rsidRPr="000F483B">
              <w:rPr>
                <w:b/>
                <w:bCs/>
                <w:sz w:val="20"/>
                <w:szCs w:val="20"/>
                <w:lang w:val="en-NZ" w:eastAsia="en-NZ"/>
              </w:rPr>
              <w:t>If HCW positive for influenza exclude from work for 5 days from start of symptoms and return when well enough to work.</w:t>
            </w:r>
          </w:p>
          <w:p w14:paraId="4C777636" w14:textId="0BA9485C" w:rsidR="00044F3F" w:rsidRPr="000F483B" w:rsidRDefault="003F22E5" w:rsidP="00044F3F">
            <w:pPr>
              <w:spacing w:after="0"/>
              <w:rPr>
                <w:sz w:val="20"/>
                <w:szCs w:val="20"/>
                <w:lang w:val="en-NZ" w:eastAsia="en-NZ"/>
              </w:rPr>
            </w:pPr>
            <w:r w:rsidRPr="37883930">
              <w:rPr>
                <w:sz w:val="20"/>
                <w:szCs w:val="20"/>
                <w:lang w:val="en-NZ" w:eastAsia="en-NZ"/>
              </w:rPr>
              <w:t xml:space="preserve">Contact GP if pregnant or immune compromised for advice on </w:t>
            </w:r>
            <w:r w:rsidR="009CD81C" w:rsidRPr="37883930">
              <w:rPr>
                <w:sz w:val="20"/>
                <w:szCs w:val="20"/>
                <w:lang w:val="en-NZ" w:eastAsia="en-NZ"/>
              </w:rPr>
              <w:t xml:space="preserve">managing your </w:t>
            </w:r>
            <w:proofErr w:type="spellStart"/>
            <w:r w:rsidR="009CD81C" w:rsidRPr="37883930">
              <w:rPr>
                <w:sz w:val="20"/>
                <w:szCs w:val="20"/>
                <w:lang w:val="en-NZ" w:eastAsia="en-NZ"/>
              </w:rPr>
              <w:t>ilness</w:t>
            </w:r>
            <w:proofErr w:type="spellEnd"/>
            <w:r w:rsidR="009CD81C" w:rsidRPr="37883930">
              <w:rPr>
                <w:sz w:val="20"/>
                <w:szCs w:val="20"/>
                <w:lang w:val="en-NZ" w:eastAsia="en-NZ"/>
              </w:rPr>
              <w:t xml:space="preserve"> and return to work</w:t>
            </w:r>
            <w:r w:rsidRPr="37883930">
              <w:rPr>
                <w:sz w:val="20"/>
                <w:szCs w:val="20"/>
                <w:lang w:val="en-NZ" w:eastAsia="en-NZ"/>
              </w:rPr>
              <w:t xml:space="preserve">. </w:t>
            </w:r>
          </w:p>
        </w:tc>
      </w:tr>
      <w:tr w:rsidR="003F22E5" w:rsidRPr="003F22E5" w14:paraId="109A66F7" w14:textId="77777777" w:rsidTr="37883930">
        <w:trPr>
          <w:cantSplit/>
          <w:trHeight w:val="1001"/>
        </w:trPr>
        <w:tc>
          <w:tcPr>
            <w:tcW w:w="2410" w:type="dxa"/>
            <w:shd w:val="clear" w:color="auto" w:fill="B78AF2"/>
            <w:vAlign w:val="center"/>
          </w:tcPr>
          <w:p w14:paraId="56188E44" w14:textId="463BCAC0" w:rsidR="003F22E5" w:rsidRPr="00D81976" w:rsidRDefault="003B6641" w:rsidP="001F2C81">
            <w:pPr>
              <w:spacing w:after="0"/>
              <w:jc w:val="center"/>
              <w:rPr>
                <w:b/>
                <w:bCs/>
                <w:kern w:val="24"/>
                <w:sz w:val="28"/>
                <w:szCs w:val="28"/>
                <w:lang w:val="en-NZ" w:eastAsia="en-NZ"/>
              </w:rPr>
            </w:pPr>
            <w:r w:rsidRPr="00FA5F41">
              <w:rPr>
                <w:b/>
                <w:bCs/>
                <w:lang w:val="en-NZ" w:eastAsia="en-NZ"/>
              </w:rPr>
              <w:t>Unwell and immunocompromised or not immune (not vaccinated) HCW</w:t>
            </w:r>
          </w:p>
        </w:tc>
        <w:tc>
          <w:tcPr>
            <w:tcW w:w="12191" w:type="dxa"/>
            <w:shd w:val="clear" w:color="auto" w:fill="D9D9D9" w:themeFill="accent6" w:themeFillShade="D9"/>
            <w:tcMar>
              <w:top w:w="72" w:type="dxa"/>
              <w:left w:w="144" w:type="dxa"/>
              <w:bottom w:w="72" w:type="dxa"/>
              <w:right w:w="144" w:type="dxa"/>
            </w:tcMar>
          </w:tcPr>
          <w:p w14:paraId="0716AC9C" w14:textId="77777777" w:rsidR="003F22E5" w:rsidRPr="000F483B" w:rsidRDefault="003F22E5" w:rsidP="00044F3F">
            <w:pPr>
              <w:spacing w:after="60"/>
              <w:rPr>
                <w:sz w:val="20"/>
                <w:szCs w:val="20"/>
                <w:lang w:val="en-NZ" w:eastAsia="en-NZ"/>
              </w:rPr>
            </w:pPr>
            <w:r w:rsidRPr="000F483B">
              <w:rPr>
                <w:sz w:val="20"/>
                <w:szCs w:val="20"/>
                <w:lang w:val="en-NZ" w:eastAsia="en-NZ"/>
              </w:rPr>
              <w:t xml:space="preserve">If concerned about medical vulnerability, discuss with Occupational Health prior to deployment and as need arises.   </w:t>
            </w:r>
          </w:p>
          <w:p w14:paraId="0BE8915A" w14:textId="77777777" w:rsidR="003F22E5" w:rsidRPr="000F483B" w:rsidRDefault="003F22E5" w:rsidP="00044F3F">
            <w:pPr>
              <w:spacing w:after="60"/>
              <w:rPr>
                <w:sz w:val="20"/>
                <w:szCs w:val="20"/>
                <w:lang w:val="en-NZ" w:eastAsia="en-NZ"/>
              </w:rPr>
            </w:pPr>
            <w:r w:rsidRPr="000F483B">
              <w:rPr>
                <w:sz w:val="20"/>
                <w:szCs w:val="20"/>
                <w:lang w:val="en-NZ" w:eastAsia="en-NZ"/>
              </w:rPr>
              <w:t>Seek medical attention early if exposure to ARI and unwell.</w:t>
            </w:r>
          </w:p>
          <w:p w14:paraId="741CD168" w14:textId="77777777" w:rsidR="003F22E5" w:rsidRPr="000F483B" w:rsidRDefault="003F22E5" w:rsidP="00044F3F">
            <w:pPr>
              <w:spacing w:after="60"/>
              <w:rPr>
                <w:rFonts w:eastAsia="Calibri"/>
                <w:sz w:val="20"/>
                <w:szCs w:val="20"/>
                <w:lang w:val="en-NZ"/>
              </w:rPr>
            </w:pPr>
            <w:r w:rsidRPr="000F483B">
              <w:rPr>
                <w:rFonts w:eastAsia="Calibri"/>
                <w:sz w:val="20"/>
                <w:szCs w:val="20"/>
                <w:lang w:val="en-NZ"/>
              </w:rPr>
              <w:t xml:space="preserve">Vaccination against diseases including COVID-19, influenza, pertussis, varicella, measles is recommended for front line HCWs. </w:t>
            </w:r>
          </w:p>
        </w:tc>
      </w:tr>
      <w:bookmarkEnd w:id="19"/>
    </w:tbl>
    <w:p w14:paraId="0F5BE6B4" w14:textId="10A94E64" w:rsidR="00693CEE" w:rsidRDefault="00693CEE">
      <w:pPr>
        <w:spacing w:line="259" w:lineRule="auto"/>
        <w:sectPr w:rsidR="00693CEE" w:rsidSect="009445FF">
          <w:headerReference w:type="default" r:id="rId19"/>
          <w:pgSz w:w="16838" w:h="11906" w:orient="landscape"/>
          <w:pgMar w:top="1440" w:right="1531" w:bottom="1440" w:left="1701" w:header="170" w:footer="198" w:gutter="0"/>
          <w:cols w:space="708"/>
          <w:docGrid w:linePitch="360"/>
        </w:sectPr>
      </w:pPr>
    </w:p>
    <w:p w14:paraId="7D019D7E" w14:textId="77777777" w:rsidR="003F22E5" w:rsidRDefault="003F22E5">
      <w:pPr>
        <w:spacing w:line="259" w:lineRule="auto"/>
        <w:rPr>
          <w:rFonts w:eastAsia="Arial"/>
          <w:lang w:val="en-NZ"/>
        </w:rPr>
      </w:pPr>
    </w:p>
    <w:p w14:paraId="4203E894" w14:textId="77777777" w:rsidR="003F22E5" w:rsidRPr="000373BB" w:rsidRDefault="003F22E5" w:rsidP="003F22E5">
      <w:pPr>
        <w:pStyle w:val="Heading1"/>
      </w:pPr>
      <w:bookmarkStart w:id="20" w:name="_Toc1185662595"/>
      <w:bookmarkStart w:id="21" w:name="_Toc170830379"/>
      <w:bookmarkStart w:id="22" w:name="_Toc170995745"/>
      <w:r w:rsidRPr="000373BB">
        <w:t>Continue to do the basics well</w:t>
      </w:r>
      <w:bookmarkEnd w:id="20"/>
      <w:bookmarkEnd w:id="21"/>
      <w:bookmarkEnd w:id="22"/>
    </w:p>
    <w:p w14:paraId="2AFE4EB5" w14:textId="77777777" w:rsidR="003F22E5" w:rsidRDefault="003F22E5" w:rsidP="003F22E5">
      <w:r>
        <w:t>To avoid transmission of ARI, encourage all HCWs, and where possible patients/clients, to continue to do the basics well. This includes ensuring vaccinations are up to date, testing and staying home if unwell, wearing a mask correctly, and being vigilant about hand hygiene.</w:t>
      </w:r>
    </w:p>
    <w:p w14:paraId="791E4087" w14:textId="77777777" w:rsidR="003F22E5" w:rsidRPr="00D07540" w:rsidRDefault="003F22E5" w:rsidP="003F22E5">
      <w:pPr>
        <w:pStyle w:val="Heading3"/>
      </w:pPr>
      <w:bookmarkStart w:id="23" w:name="_Toc170995746"/>
      <w:r w:rsidRPr="00D07540">
        <w:t>Staying home</w:t>
      </w:r>
      <w:r>
        <w:t xml:space="preserve"> and testing</w:t>
      </w:r>
      <w:r w:rsidRPr="00D07540">
        <w:t xml:space="preserve"> if unwell</w:t>
      </w:r>
      <w:bookmarkEnd w:id="23"/>
    </w:p>
    <w:p w14:paraId="189E85E3" w14:textId="77777777" w:rsidR="003F22E5" w:rsidRDefault="003F22E5" w:rsidP="003F22E5">
      <w:r>
        <w:t>Ensure that any HCW who develops or has ARI symptoms stays home, tests, and communicates with their manager/clinical leader about next steps for work purposes. Staying home if unwell will help to limit transmission of all ARI.</w:t>
      </w:r>
    </w:p>
    <w:p w14:paraId="14831F46" w14:textId="77777777" w:rsidR="003F22E5" w:rsidRPr="000F083A" w:rsidRDefault="003F22E5" w:rsidP="003F22E5">
      <w:pPr>
        <w:pStyle w:val="Heading3"/>
      </w:pPr>
      <w:bookmarkStart w:id="24" w:name="_Toc170995747"/>
      <w:r w:rsidRPr="000F083A">
        <w:t>Mask wearing</w:t>
      </w:r>
      <w:bookmarkEnd w:id="24"/>
    </w:p>
    <w:p w14:paraId="055370B0" w14:textId="23C47B2B" w:rsidR="003F22E5" w:rsidRDefault="003F22E5" w:rsidP="003F22E5">
      <w:r>
        <w:t>Use of standard and transmission-based precautions should be adhered to by all HCWs</w:t>
      </w:r>
      <w:r w:rsidR="008A5505">
        <w:t>.</w:t>
      </w:r>
      <w:r>
        <w:t xml:space="preserve">  For more information on infection prevention and control recommendations including donning and doffing of PPE, types of masks and particulate respirators and COVID-19 risk assessment please refer to the Health NZ Te Whatu Ora IPC recommendations for health and disability care workers </w:t>
      </w:r>
      <w:hyperlink r:id="rId20">
        <w:r w:rsidRPr="67EDFB63">
          <w:rPr>
            <w:rStyle w:val="Hyperlink"/>
          </w:rPr>
          <w:t>website</w:t>
        </w:r>
      </w:hyperlink>
      <w:r>
        <w:t xml:space="preserve">. </w:t>
      </w:r>
    </w:p>
    <w:p w14:paraId="6D16C283" w14:textId="77777777" w:rsidR="003F22E5" w:rsidRPr="00D07540" w:rsidRDefault="003F22E5" w:rsidP="003F22E5">
      <w:pPr>
        <w:pStyle w:val="Heading3"/>
      </w:pPr>
      <w:bookmarkStart w:id="25" w:name="_Toc170995748"/>
      <w:r w:rsidRPr="00D07540">
        <w:t>Vaccinations</w:t>
      </w:r>
      <w:bookmarkEnd w:id="25"/>
    </w:p>
    <w:p w14:paraId="1D310CBC" w14:textId="05A28B54" w:rsidR="003F22E5" w:rsidRDefault="003F22E5" w:rsidP="00D81976">
      <w:r w:rsidRPr="007817B8">
        <w:t xml:space="preserve">HCW are </w:t>
      </w:r>
      <w:r>
        <w:t>recommended</w:t>
      </w:r>
      <w:r w:rsidRPr="007817B8">
        <w:t xml:space="preserve"> to</w:t>
      </w:r>
      <w:r>
        <w:t xml:space="preserve"> </w:t>
      </w:r>
      <w:r w:rsidR="39F352A9">
        <w:t>be</w:t>
      </w:r>
      <w:r>
        <w:t xml:space="preserve"> up to date with </w:t>
      </w:r>
      <w:r w:rsidR="136D7AF9">
        <w:t xml:space="preserve">all childhood vaccinations </w:t>
      </w:r>
      <w:r w:rsidR="00BF249C">
        <w:t>as well</w:t>
      </w:r>
      <w:r>
        <w:t xml:space="preserve"> as COVID</w:t>
      </w:r>
      <w:r w:rsidR="00F04E50">
        <w:t>-</w:t>
      </w:r>
      <w:r>
        <w:t>19 and annual influenza.</w:t>
      </w:r>
      <w:r w:rsidRPr="007817B8">
        <w:t xml:space="preserve"> </w:t>
      </w:r>
      <w:r>
        <w:t xml:space="preserve">Others may be recommended by Occupational Health or in outbreak situations. </w:t>
      </w:r>
    </w:p>
    <w:p w14:paraId="7DC2468F" w14:textId="77777777" w:rsidR="003F22E5" w:rsidRPr="007817B8" w:rsidRDefault="003F22E5" w:rsidP="00D81976">
      <w:r>
        <w:t xml:space="preserve">More information about COVID-19 vaccines can be </w:t>
      </w:r>
      <w:r w:rsidRPr="00D81976">
        <w:t xml:space="preserve">found on the </w:t>
      </w:r>
      <w:hyperlink r:id="rId21" w:history="1">
        <w:r w:rsidRPr="00D81976">
          <w:rPr>
            <w:rStyle w:val="Hyperlink"/>
          </w:rPr>
          <w:t>COVID-19 website</w:t>
        </w:r>
      </w:hyperlink>
      <w:r w:rsidRPr="00D81976">
        <w:t>.</w:t>
      </w:r>
      <w:r>
        <w:t xml:space="preserve"> </w:t>
      </w:r>
    </w:p>
    <w:p w14:paraId="2119D9FB" w14:textId="77777777" w:rsidR="003F22E5" w:rsidRPr="001E6C54" w:rsidRDefault="003F22E5" w:rsidP="003F22E5">
      <w:pPr>
        <w:pStyle w:val="Heading3"/>
      </w:pPr>
      <w:bookmarkStart w:id="26" w:name="_Toc170995749"/>
      <w:r>
        <w:t>Reducing transmission during breaks</w:t>
      </w:r>
      <w:bookmarkEnd w:id="26"/>
    </w:p>
    <w:p w14:paraId="77CC39BD" w14:textId="77777777" w:rsidR="003F22E5" w:rsidRDefault="003F22E5" w:rsidP="003F22E5">
      <w:r>
        <w:t xml:space="preserve">Transmission of ARI can occur when people are closely interacting together without wearing masks, for example, at meal breaks where people are eating or drinking at the same table. </w:t>
      </w:r>
    </w:p>
    <w:p w14:paraId="70CFF368" w14:textId="77777777" w:rsidR="003F22E5" w:rsidRDefault="003F22E5" w:rsidP="003F22E5">
      <w:r>
        <w:t>During outbreaks consider ways of reducing transmission such as rostered/staggered meal breaks, having breaks outside, and asking HCWs to limit the time they spend with others when on breaks.</w:t>
      </w:r>
    </w:p>
    <w:p w14:paraId="74B9BE69" w14:textId="77777777" w:rsidR="003F22E5" w:rsidRPr="00940DE4" w:rsidRDefault="003F22E5" w:rsidP="003F22E5">
      <w:pPr>
        <w:pStyle w:val="Heading3"/>
      </w:pPr>
      <w:bookmarkStart w:id="27" w:name="_Toc170995750"/>
      <w:r w:rsidRPr="00940DE4">
        <w:t>Reporting processes</w:t>
      </w:r>
      <w:bookmarkEnd w:id="27"/>
    </w:p>
    <w:p w14:paraId="14CAB610" w14:textId="77777777" w:rsidR="00101B7B" w:rsidRPr="003F22E5" w:rsidRDefault="003F22E5" w:rsidP="003F22E5">
      <w:r>
        <w:t>Ensure that HCWs are aware of processes to self-report exposure or illness in place, as not all workplaces have the same systems to report to.</w:t>
      </w:r>
    </w:p>
    <w:sectPr w:rsidR="00101B7B" w:rsidRPr="003F22E5" w:rsidSect="00693CEE">
      <w:headerReference w:type="default" r:id="rId22"/>
      <w:pgSz w:w="11906" w:h="16838"/>
      <w:pgMar w:top="1531" w:right="1440" w:bottom="1701" w:left="1440" w:header="340"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53340" w14:textId="77777777" w:rsidR="00082E31" w:rsidRDefault="00082E31" w:rsidP="001D3387">
      <w:r>
        <w:separator/>
      </w:r>
    </w:p>
  </w:endnote>
  <w:endnote w:type="continuationSeparator" w:id="0">
    <w:p w14:paraId="5459F983" w14:textId="77777777" w:rsidR="00082E31" w:rsidRDefault="00082E31" w:rsidP="001D3387">
      <w:r>
        <w:continuationSeparator/>
      </w:r>
    </w:p>
  </w:endnote>
  <w:endnote w:type="continuationNotice" w:id="1">
    <w:p w14:paraId="39689DD2" w14:textId="77777777" w:rsidR="00082E31" w:rsidRDefault="00082E31" w:rsidP="001D3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GillSans">
    <w:altName w:val="Calibri"/>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2449008"/>
      <w:docPartObj>
        <w:docPartGallery w:val="Page Numbers (Bottom of Page)"/>
        <w:docPartUnique/>
      </w:docPartObj>
    </w:sdtPr>
    <w:sdtEndPr>
      <w:rPr>
        <w:noProof/>
      </w:rPr>
    </w:sdtEndPr>
    <w:sdtContent>
      <w:p w14:paraId="5C515297" w14:textId="3B6B924C" w:rsidR="00431323" w:rsidRDefault="00920CB3" w:rsidP="00A32AA1">
        <w:pPr>
          <w:pStyle w:val="Footerbody"/>
          <w:tabs>
            <w:tab w:val="left" w:pos="8789"/>
          </w:tabs>
          <w:spacing w:after="100" w:afterAutospacing="1"/>
          <w:rPr>
            <w:noProof/>
          </w:rPr>
        </w:pPr>
        <w:r w:rsidRPr="001D3387">
          <w:tab/>
        </w:r>
        <w:r w:rsidR="00822274">
          <w:tab/>
        </w:r>
        <w:r w:rsidR="00822274">
          <w:tab/>
        </w:r>
        <w:r w:rsidR="00822274">
          <w:tab/>
        </w:r>
        <w:r w:rsidR="00822274">
          <w:tab/>
        </w:r>
        <w:r w:rsidR="00822274">
          <w:tab/>
        </w:r>
        <w:r w:rsidR="00822274">
          <w:tab/>
        </w:r>
        <w:r w:rsidR="00A32AA1">
          <w:fldChar w:fldCharType="begin"/>
        </w:r>
        <w:r w:rsidR="00A32AA1">
          <w:instrText xml:space="preserve"> PAGE   \* MERGEFORMAT </w:instrText>
        </w:r>
        <w:r w:rsidR="00A32AA1">
          <w:fldChar w:fldCharType="separate"/>
        </w:r>
        <w:r w:rsidR="00A32AA1">
          <w:rPr>
            <w:noProof/>
          </w:rPr>
          <w:t>1</w:t>
        </w:r>
        <w:r w:rsidR="00A32AA1">
          <w:rPr>
            <w:noProof/>
          </w:rPr>
          <w:fldChar w:fldCharType="end"/>
        </w:r>
      </w:p>
    </w:sdtContent>
  </w:sdt>
  <w:p w14:paraId="36DA5687" w14:textId="565078E3" w:rsidR="0011702E" w:rsidRDefault="0011702E"/>
  <w:p w14:paraId="7136538E" w14:textId="3E4AA4C5" w:rsidR="00D04370" w:rsidRDefault="00D0437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4E392" w14:textId="77777777" w:rsidR="00684CAC" w:rsidRDefault="00684CAC" w:rsidP="001D3387">
    <w:pPr>
      <w:pStyle w:val="Footer"/>
    </w:pPr>
  </w:p>
  <w:p w14:paraId="580B1256" w14:textId="77777777" w:rsidR="003A10C8" w:rsidRDefault="00A92D1C" w:rsidP="001D3387">
    <w:pPr>
      <w:pStyle w:val="Footer"/>
    </w:pPr>
    <w:r>
      <w:rPr>
        <w:noProof/>
      </w:rPr>
      <w:drawing>
        <wp:anchor distT="0" distB="0" distL="114300" distR="114300" simplePos="0" relativeHeight="251653632" behindDoc="1" locked="0" layoutInCell="1" allowOverlap="1" wp14:anchorId="4ACD956F" wp14:editId="4BEAA63B">
          <wp:simplePos x="0" y="0"/>
          <wp:positionH relativeFrom="page">
            <wp:posOffset>7699375</wp:posOffset>
          </wp:positionH>
          <wp:positionV relativeFrom="paragraph">
            <wp:posOffset>161925</wp:posOffset>
          </wp:positionV>
          <wp:extent cx="7539990" cy="942340"/>
          <wp:effectExtent l="0" t="0" r="3810" b="0"/>
          <wp:wrapNone/>
          <wp:docPr id="1515817209" name="Picture 1515817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990" cy="9423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1B5A2" w14:textId="77777777" w:rsidR="00082E31" w:rsidRDefault="00082E31" w:rsidP="001D3387">
      <w:r>
        <w:separator/>
      </w:r>
    </w:p>
  </w:footnote>
  <w:footnote w:type="continuationSeparator" w:id="0">
    <w:p w14:paraId="20EC915B" w14:textId="77777777" w:rsidR="00082E31" w:rsidRDefault="00082E31" w:rsidP="001D3387">
      <w:r>
        <w:continuationSeparator/>
      </w:r>
    </w:p>
  </w:footnote>
  <w:footnote w:type="continuationNotice" w:id="1">
    <w:p w14:paraId="0C24B1BD" w14:textId="77777777" w:rsidR="00082E31" w:rsidRDefault="00082E31" w:rsidP="001D3387"/>
  </w:footnote>
  <w:footnote w:id="2">
    <w:p w14:paraId="09606550" w14:textId="0EC47642" w:rsidR="00FE393C" w:rsidRDefault="00FE393C" w:rsidP="00FE393C">
      <w:pPr>
        <w:spacing w:after="0"/>
        <w:ind w:left="284" w:hanging="284"/>
      </w:pPr>
      <w:r>
        <w:rPr>
          <w:rStyle w:val="FootnoteReference"/>
        </w:rPr>
        <w:footnoteRef/>
      </w:r>
      <w:r>
        <w:t xml:space="preserve"> </w:t>
      </w:r>
      <w:r w:rsidR="00483F5C">
        <w:rPr>
          <w:sz w:val="20"/>
          <w:szCs w:val="20"/>
        </w:rPr>
        <w:t>A medical mask is a</w:t>
      </w:r>
      <w:r w:rsidRPr="00D84547">
        <w:rPr>
          <w:sz w:val="20"/>
          <w:szCs w:val="20"/>
        </w:rPr>
        <w:t xml:space="preserve"> well-fitting fluid resistant medical mask (Type IIR or Level 2)</w:t>
      </w:r>
      <w:r w:rsidR="00B81A71">
        <w:rPr>
          <w:sz w:val="20"/>
          <w:szCs w:val="20"/>
        </w:rPr>
        <w:t>.</w:t>
      </w:r>
    </w:p>
  </w:footnote>
  <w:footnote w:id="3">
    <w:p w14:paraId="235B1F81" w14:textId="7A89F061" w:rsidR="001F0DDA" w:rsidRPr="001F0DDA" w:rsidRDefault="001F0DDA">
      <w:pPr>
        <w:pStyle w:val="FootnoteText"/>
        <w:rPr>
          <w:lang w:val="en-NZ"/>
        </w:rPr>
      </w:pPr>
      <w:r>
        <w:rPr>
          <w:rStyle w:val="FootnoteReference"/>
        </w:rPr>
        <w:footnoteRef/>
      </w:r>
      <w:r>
        <w:t xml:space="preserve"> A</w:t>
      </w:r>
      <w:r w:rsidRPr="00D84547">
        <w:t xml:space="preserve"> P2/N95 particulate respirator that has been fit checked by user. A user seal check/fit check must always be performed when putting on a P2/N95 respirator. In situations where fit testing has not yet been carried out, successful seal check will provide reassurance of good mask fit.</w:t>
      </w:r>
    </w:p>
  </w:footnote>
  <w:footnote w:id="4">
    <w:p w14:paraId="03F7F649" w14:textId="3F43852F" w:rsidR="003F22E5" w:rsidRDefault="003F22E5" w:rsidP="003F22E5">
      <w:pPr>
        <w:spacing w:after="0"/>
        <w:ind w:left="284" w:hanging="284"/>
      </w:pPr>
      <w:r>
        <w:rPr>
          <w:rStyle w:val="FootnoteReference"/>
        </w:rPr>
        <w:footnoteRef/>
      </w:r>
      <w:r>
        <w:t xml:space="preserve"> </w:t>
      </w:r>
      <w:r>
        <w:tab/>
      </w:r>
      <w:r w:rsidR="003E4DAD">
        <w:rPr>
          <w:sz w:val="20"/>
          <w:szCs w:val="20"/>
        </w:rPr>
        <w:t xml:space="preserve">As </w:t>
      </w:r>
      <w:r w:rsidR="00801FC5">
        <w:rPr>
          <w:sz w:val="20"/>
          <w:szCs w:val="20"/>
        </w:rPr>
        <w:t xml:space="preserve">per </w:t>
      </w:r>
      <w:r w:rsidR="003E4DAD">
        <w:rPr>
          <w:sz w:val="20"/>
          <w:szCs w:val="20"/>
        </w:rPr>
        <w:t>previous footn</w:t>
      </w:r>
      <w:r w:rsidR="00801FC5">
        <w:rPr>
          <w:sz w:val="20"/>
          <w:szCs w:val="20"/>
        </w:rPr>
        <w:t>ote</w:t>
      </w:r>
    </w:p>
  </w:footnote>
  <w:footnote w:id="5">
    <w:p w14:paraId="43290D19" w14:textId="77777777" w:rsidR="008A46F7" w:rsidRDefault="008A46F7" w:rsidP="008A46F7">
      <w:pPr>
        <w:spacing w:after="0"/>
        <w:ind w:left="284" w:hanging="284"/>
      </w:pPr>
      <w:r>
        <w:rPr>
          <w:rStyle w:val="FootnoteReference"/>
        </w:rPr>
        <w:footnoteRef/>
      </w:r>
      <w:r>
        <w:t xml:space="preserve"> </w:t>
      </w:r>
      <w:r>
        <w:tab/>
      </w:r>
      <w:r>
        <w:rPr>
          <w:sz w:val="20"/>
          <w:szCs w:val="20"/>
        </w:rPr>
        <w:t>As per previous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4C48B" w14:textId="18A258A8" w:rsidR="00D04370" w:rsidRDefault="009231B0" w:rsidP="00AE2E8E">
    <w:pPr>
      <w:tabs>
        <w:tab w:val="left" w:pos="7395"/>
      </w:tabs>
    </w:pPr>
    <w:r w:rsidRPr="001E1669">
      <w:rPr>
        <w:rFonts w:ascii="Poppins" w:hAnsi="Poppins" w:cs="Poppins"/>
        <w:b/>
        <w:bCs/>
        <w:noProof/>
        <w:kern w:val="22"/>
      </w:rPr>
      <w:drawing>
        <wp:anchor distT="0" distB="0" distL="114300" distR="114300" simplePos="0" relativeHeight="251654656" behindDoc="1" locked="0" layoutInCell="1" allowOverlap="1" wp14:anchorId="47C11410" wp14:editId="0DDAAF1A">
          <wp:simplePos x="0" y="0"/>
          <wp:positionH relativeFrom="page">
            <wp:align>right</wp:align>
          </wp:positionH>
          <wp:positionV relativeFrom="paragraph">
            <wp:posOffset>-720090</wp:posOffset>
          </wp:positionV>
          <wp:extent cx="7562850" cy="647700"/>
          <wp:effectExtent l="0" t="0" r="0" b="0"/>
          <wp:wrapNone/>
          <wp:docPr id="926594803" name="Picture 926594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b="35238"/>
                  <a:stretch/>
                </pic:blipFill>
                <pic:spPr bwMode="auto">
                  <a:xfrm>
                    <a:off x="0" y="0"/>
                    <a:ext cx="7562850" cy="647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E2E8E" w:rsidRPr="00554C10">
      <w:rPr>
        <w:noProof/>
        <w:sz w:val="28"/>
        <w:szCs w:val="28"/>
      </w:rPr>
      <w:drawing>
        <wp:anchor distT="0" distB="0" distL="114300" distR="114300" simplePos="0" relativeHeight="251659776" behindDoc="1" locked="0" layoutInCell="1" allowOverlap="1" wp14:anchorId="33B7C47D" wp14:editId="1981A1ED">
          <wp:simplePos x="0" y="0"/>
          <wp:positionH relativeFrom="margin">
            <wp:posOffset>4067175</wp:posOffset>
          </wp:positionH>
          <wp:positionV relativeFrom="paragraph">
            <wp:posOffset>-107950</wp:posOffset>
          </wp:positionV>
          <wp:extent cx="2020570" cy="354965"/>
          <wp:effectExtent l="0" t="0" r="0" b="6985"/>
          <wp:wrapTight wrapText="bothSides">
            <wp:wrapPolygon edited="0">
              <wp:start x="0" y="0"/>
              <wp:lineTo x="0" y="20866"/>
              <wp:lineTo x="12015" y="20866"/>
              <wp:lineTo x="12015" y="18547"/>
              <wp:lineTo x="21383" y="11592"/>
              <wp:lineTo x="21383" y="0"/>
              <wp:lineTo x="0" y="0"/>
            </wp:wrapPolygon>
          </wp:wrapTight>
          <wp:docPr id="296275947" name="Picture 296275947"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731784" name="Picture 1325731784" descr="A blue and black text&#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20570" cy="354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7BAB" w:rsidRPr="00554C10">
      <w:rPr>
        <w:noProof/>
        <w:sz w:val="28"/>
        <w:szCs w:val="28"/>
      </w:rPr>
      <w:drawing>
        <wp:anchor distT="0" distB="0" distL="114300" distR="114300" simplePos="0" relativeHeight="251655680" behindDoc="1" locked="0" layoutInCell="1" allowOverlap="1" wp14:anchorId="03045CB9" wp14:editId="383D0408">
          <wp:simplePos x="0" y="0"/>
          <wp:positionH relativeFrom="margin">
            <wp:posOffset>7089775</wp:posOffset>
          </wp:positionH>
          <wp:positionV relativeFrom="paragraph">
            <wp:posOffset>-231140</wp:posOffset>
          </wp:positionV>
          <wp:extent cx="2020570" cy="354965"/>
          <wp:effectExtent l="0" t="0" r="0" b="6985"/>
          <wp:wrapTight wrapText="bothSides">
            <wp:wrapPolygon edited="0">
              <wp:start x="0" y="0"/>
              <wp:lineTo x="0" y="20866"/>
              <wp:lineTo x="12015" y="20866"/>
              <wp:lineTo x="12015" y="18547"/>
              <wp:lineTo x="21383" y="11592"/>
              <wp:lineTo x="21383" y="0"/>
              <wp:lineTo x="0" y="0"/>
            </wp:wrapPolygon>
          </wp:wrapTight>
          <wp:docPr id="551205705" name="Picture 551205705"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731784" name="Picture 1325731784" descr="A blue and black text&#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20570" cy="3549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43368" w14:textId="77777777" w:rsidR="001218E6" w:rsidRDefault="001218E6">
    <w:pPr>
      <w:pStyle w:val="Header"/>
    </w:pPr>
    <w:r w:rsidRPr="001E1669">
      <w:rPr>
        <w:rFonts w:ascii="Poppins" w:hAnsi="Poppins" w:cs="Poppins"/>
        <w:b/>
        <w:bCs/>
        <w:noProof/>
        <w:kern w:val="22"/>
        <w:sz w:val="20"/>
        <w:szCs w:val="20"/>
      </w:rPr>
      <w:drawing>
        <wp:anchor distT="0" distB="0" distL="114300" distR="114300" simplePos="0" relativeHeight="251661824" behindDoc="1" locked="0" layoutInCell="1" allowOverlap="1" wp14:anchorId="30736310" wp14:editId="55AC372D">
          <wp:simplePos x="0" y="0"/>
          <wp:positionH relativeFrom="page">
            <wp:align>left</wp:align>
          </wp:positionH>
          <wp:positionV relativeFrom="paragraph">
            <wp:posOffset>-540688</wp:posOffset>
          </wp:positionV>
          <wp:extent cx="7543800" cy="927100"/>
          <wp:effectExtent l="0" t="0" r="0" b="0"/>
          <wp:wrapNone/>
          <wp:docPr id="1237400451" name="Picture 1237400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3800" cy="9271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1DA4E" w14:textId="509FE924" w:rsidR="00AE2E8E" w:rsidRDefault="009445FF" w:rsidP="009445FF">
    <w:pPr>
      <w:tabs>
        <w:tab w:val="left" w:pos="9045"/>
      </w:tabs>
    </w:pPr>
    <w:r w:rsidRPr="001E1669">
      <w:rPr>
        <w:rFonts w:ascii="Poppins" w:hAnsi="Poppins" w:cs="Poppins"/>
        <w:b/>
        <w:bCs/>
        <w:noProof/>
        <w:kern w:val="22"/>
      </w:rPr>
      <w:drawing>
        <wp:anchor distT="0" distB="0" distL="114300" distR="114300" simplePos="0" relativeHeight="251656704" behindDoc="1" locked="0" layoutInCell="1" allowOverlap="1" wp14:anchorId="25D0AD0B" wp14:editId="22B6DCF3">
          <wp:simplePos x="0" y="0"/>
          <wp:positionH relativeFrom="page">
            <wp:align>left</wp:align>
          </wp:positionH>
          <wp:positionV relativeFrom="paragraph">
            <wp:posOffset>-212090</wp:posOffset>
          </wp:positionV>
          <wp:extent cx="7543800" cy="647700"/>
          <wp:effectExtent l="0" t="0" r="0" b="0"/>
          <wp:wrapNone/>
          <wp:docPr id="1502650875" name="Picture 1502650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b="35238"/>
                  <a:stretch/>
                </pic:blipFill>
                <pic:spPr bwMode="auto">
                  <a:xfrm>
                    <a:off x="0" y="0"/>
                    <a:ext cx="7543800" cy="647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82D69" w:rsidRPr="00554C10">
      <w:rPr>
        <w:noProof/>
        <w:sz w:val="28"/>
        <w:szCs w:val="28"/>
      </w:rPr>
      <w:drawing>
        <wp:anchor distT="0" distB="0" distL="114300" distR="114300" simplePos="0" relativeHeight="251657728" behindDoc="1" locked="0" layoutInCell="1" allowOverlap="1" wp14:anchorId="64A8F74A" wp14:editId="47CF8683">
          <wp:simplePos x="0" y="0"/>
          <wp:positionH relativeFrom="margin">
            <wp:posOffset>7000240</wp:posOffset>
          </wp:positionH>
          <wp:positionV relativeFrom="paragraph">
            <wp:posOffset>10160</wp:posOffset>
          </wp:positionV>
          <wp:extent cx="2020570" cy="354965"/>
          <wp:effectExtent l="0" t="0" r="0" b="6985"/>
          <wp:wrapTight wrapText="bothSides">
            <wp:wrapPolygon edited="0">
              <wp:start x="0" y="0"/>
              <wp:lineTo x="0" y="20866"/>
              <wp:lineTo x="12015" y="20866"/>
              <wp:lineTo x="12015" y="18547"/>
              <wp:lineTo x="21383" y="11592"/>
              <wp:lineTo x="21383" y="0"/>
              <wp:lineTo x="0" y="0"/>
            </wp:wrapPolygon>
          </wp:wrapTight>
          <wp:docPr id="1034843864" name="Picture 1034843864"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731784" name="Picture 1325731784" descr="A blue and black text&#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20570" cy="35496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0818A" w14:textId="38BEF6BC" w:rsidR="004E042F" w:rsidRDefault="005074B1" w:rsidP="009445FF">
    <w:pPr>
      <w:tabs>
        <w:tab w:val="left" w:pos="9045"/>
      </w:tabs>
    </w:pPr>
    <w:r w:rsidRPr="001E1669">
      <w:rPr>
        <w:rFonts w:ascii="Poppins" w:hAnsi="Poppins" w:cs="Poppins"/>
        <w:b/>
        <w:bCs/>
        <w:noProof/>
        <w:kern w:val="22"/>
      </w:rPr>
      <w:drawing>
        <wp:anchor distT="0" distB="0" distL="114300" distR="114300" simplePos="0" relativeHeight="251658752" behindDoc="1" locked="0" layoutInCell="1" allowOverlap="1" wp14:anchorId="147640B6" wp14:editId="5ACC0357">
          <wp:simplePos x="0" y="0"/>
          <wp:positionH relativeFrom="page">
            <wp:posOffset>-9525</wp:posOffset>
          </wp:positionH>
          <wp:positionV relativeFrom="paragraph">
            <wp:posOffset>-215900</wp:posOffset>
          </wp:positionV>
          <wp:extent cx="7572375" cy="647700"/>
          <wp:effectExtent l="0" t="0" r="9525" b="0"/>
          <wp:wrapNone/>
          <wp:docPr id="1139337389" name="Picture 1139337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b="35238"/>
                  <a:stretch/>
                </pic:blipFill>
                <pic:spPr bwMode="auto">
                  <a:xfrm>
                    <a:off x="0" y="0"/>
                    <a:ext cx="7572375" cy="647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E1113" w:rsidRPr="00554C10">
      <w:rPr>
        <w:noProof/>
        <w:sz w:val="28"/>
        <w:szCs w:val="28"/>
      </w:rPr>
      <w:drawing>
        <wp:anchor distT="0" distB="0" distL="114300" distR="114300" simplePos="0" relativeHeight="251663872" behindDoc="1" locked="0" layoutInCell="1" allowOverlap="1" wp14:anchorId="06D811A8" wp14:editId="110C5946">
          <wp:simplePos x="0" y="0"/>
          <wp:positionH relativeFrom="margin">
            <wp:posOffset>4019550</wp:posOffset>
          </wp:positionH>
          <wp:positionV relativeFrom="paragraph">
            <wp:posOffset>389890</wp:posOffset>
          </wp:positionV>
          <wp:extent cx="2020570" cy="354965"/>
          <wp:effectExtent l="0" t="0" r="0" b="6985"/>
          <wp:wrapTight wrapText="bothSides">
            <wp:wrapPolygon edited="0">
              <wp:start x="0" y="0"/>
              <wp:lineTo x="0" y="20866"/>
              <wp:lineTo x="12015" y="20866"/>
              <wp:lineTo x="12015" y="18547"/>
              <wp:lineTo x="21383" y="11592"/>
              <wp:lineTo x="21383" y="0"/>
              <wp:lineTo x="0" y="0"/>
            </wp:wrapPolygon>
          </wp:wrapTight>
          <wp:docPr id="479576069" name="Picture 479576069"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731784" name="Picture 1325731784" descr="A blue and black text&#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20570" cy="354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042F" w:rsidRPr="00554C10">
      <w:rPr>
        <w:noProof/>
        <w:sz w:val="28"/>
        <w:szCs w:val="28"/>
      </w:rPr>
      <w:drawing>
        <wp:anchor distT="0" distB="0" distL="114300" distR="114300" simplePos="0" relativeHeight="251660800" behindDoc="1" locked="0" layoutInCell="1" allowOverlap="1" wp14:anchorId="04FC764D" wp14:editId="64531A53">
          <wp:simplePos x="0" y="0"/>
          <wp:positionH relativeFrom="margin">
            <wp:posOffset>7000240</wp:posOffset>
          </wp:positionH>
          <wp:positionV relativeFrom="paragraph">
            <wp:posOffset>10160</wp:posOffset>
          </wp:positionV>
          <wp:extent cx="2020570" cy="354965"/>
          <wp:effectExtent l="0" t="0" r="0" b="6985"/>
          <wp:wrapTight wrapText="bothSides">
            <wp:wrapPolygon edited="0">
              <wp:start x="0" y="0"/>
              <wp:lineTo x="0" y="20866"/>
              <wp:lineTo x="12015" y="20866"/>
              <wp:lineTo x="12015" y="18547"/>
              <wp:lineTo x="21383" y="11592"/>
              <wp:lineTo x="21383" y="0"/>
              <wp:lineTo x="0" y="0"/>
            </wp:wrapPolygon>
          </wp:wrapTight>
          <wp:docPr id="1482617583" name="Picture 1482617583"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731784" name="Picture 1325731784" descr="A blue and black text&#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20570" cy="354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042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16975370"/>
    <w:multiLevelType w:val="hybridMultilevel"/>
    <w:tmpl w:val="5D8891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8052292"/>
    <w:multiLevelType w:val="hybridMultilevel"/>
    <w:tmpl w:val="E954BD4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20C90466"/>
    <w:multiLevelType w:val="hybridMultilevel"/>
    <w:tmpl w:val="2966A818"/>
    <w:lvl w:ilvl="0" w:tplc="927AE768">
      <w:start w:val="1"/>
      <w:numFmt w:val="lowerLetter"/>
      <w:lvlText w:val="%1)"/>
      <w:lvlJc w:val="left"/>
      <w:pPr>
        <w:ind w:left="717" w:hanging="360"/>
      </w:pPr>
      <w:rPr>
        <w:rFonts w:hint="default"/>
        <w:color w:val="000000"/>
      </w:rPr>
    </w:lvl>
    <w:lvl w:ilvl="1" w:tplc="14090019" w:tentative="1">
      <w:start w:val="1"/>
      <w:numFmt w:val="lowerLetter"/>
      <w:lvlText w:val="%2."/>
      <w:lvlJc w:val="left"/>
      <w:pPr>
        <w:ind w:left="1437" w:hanging="360"/>
      </w:pPr>
    </w:lvl>
    <w:lvl w:ilvl="2" w:tplc="1409001B" w:tentative="1">
      <w:start w:val="1"/>
      <w:numFmt w:val="lowerRoman"/>
      <w:lvlText w:val="%3."/>
      <w:lvlJc w:val="right"/>
      <w:pPr>
        <w:ind w:left="2157" w:hanging="180"/>
      </w:pPr>
    </w:lvl>
    <w:lvl w:ilvl="3" w:tplc="1409000F" w:tentative="1">
      <w:start w:val="1"/>
      <w:numFmt w:val="decimal"/>
      <w:lvlText w:val="%4."/>
      <w:lvlJc w:val="left"/>
      <w:pPr>
        <w:ind w:left="2877" w:hanging="360"/>
      </w:pPr>
    </w:lvl>
    <w:lvl w:ilvl="4" w:tplc="14090019" w:tentative="1">
      <w:start w:val="1"/>
      <w:numFmt w:val="lowerLetter"/>
      <w:lvlText w:val="%5."/>
      <w:lvlJc w:val="left"/>
      <w:pPr>
        <w:ind w:left="3597" w:hanging="360"/>
      </w:pPr>
    </w:lvl>
    <w:lvl w:ilvl="5" w:tplc="1409001B" w:tentative="1">
      <w:start w:val="1"/>
      <w:numFmt w:val="lowerRoman"/>
      <w:lvlText w:val="%6."/>
      <w:lvlJc w:val="right"/>
      <w:pPr>
        <w:ind w:left="4317" w:hanging="180"/>
      </w:pPr>
    </w:lvl>
    <w:lvl w:ilvl="6" w:tplc="1409000F" w:tentative="1">
      <w:start w:val="1"/>
      <w:numFmt w:val="decimal"/>
      <w:lvlText w:val="%7."/>
      <w:lvlJc w:val="left"/>
      <w:pPr>
        <w:ind w:left="5037" w:hanging="360"/>
      </w:pPr>
    </w:lvl>
    <w:lvl w:ilvl="7" w:tplc="14090019" w:tentative="1">
      <w:start w:val="1"/>
      <w:numFmt w:val="lowerLetter"/>
      <w:lvlText w:val="%8."/>
      <w:lvlJc w:val="left"/>
      <w:pPr>
        <w:ind w:left="5757" w:hanging="360"/>
      </w:pPr>
    </w:lvl>
    <w:lvl w:ilvl="8" w:tplc="1409001B" w:tentative="1">
      <w:start w:val="1"/>
      <w:numFmt w:val="lowerRoman"/>
      <w:lvlText w:val="%9."/>
      <w:lvlJc w:val="right"/>
      <w:pPr>
        <w:ind w:left="6477" w:hanging="180"/>
      </w:pPr>
    </w:lvl>
  </w:abstractNum>
  <w:abstractNum w:abstractNumId="4" w15:restartNumberingAfterBreak="0">
    <w:nsid w:val="23465AA6"/>
    <w:multiLevelType w:val="hybridMultilevel"/>
    <w:tmpl w:val="361093E8"/>
    <w:lvl w:ilvl="0" w:tplc="14090011">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281E436A"/>
    <w:multiLevelType w:val="hybridMultilevel"/>
    <w:tmpl w:val="EE12D3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8D40F05"/>
    <w:multiLevelType w:val="hybridMultilevel"/>
    <w:tmpl w:val="B4FEE7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CA0303B"/>
    <w:multiLevelType w:val="hybridMultilevel"/>
    <w:tmpl w:val="859E8C28"/>
    <w:lvl w:ilvl="0" w:tplc="77905282">
      <w:start w:val="1"/>
      <w:numFmt w:val="bullet"/>
      <w:pStyle w:val="Bulletpoin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4027144"/>
    <w:multiLevelType w:val="hybridMultilevel"/>
    <w:tmpl w:val="21A2B0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C7D3516"/>
    <w:multiLevelType w:val="hybridMultilevel"/>
    <w:tmpl w:val="9B406908"/>
    <w:lvl w:ilvl="0" w:tplc="02084884">
      <w:start w:val="1"/>
      <w:numFmt w:val="decimal"/>
      <w:pStyle w:val="Numberedbullets"/>
      <w:lvlText w:val="%1."/>
      <w:lvlJc w:val="left"/>
      <w:pPr>
        <w:ind w:left="720" w:hanging="360"/>
      </w:pPr>
      <w:rPr>
        <w:rFonts w:ascii="Roboto" w:hAnsi="Roboto" w:hint="default"/>
        <w:b w:val="0"/>
        <w:color w:val="auto"/>
        <w:sz w:val="22"/>
      </w:rPr>
    </w:lvl>
    <w:lvl w:ilvl="1" w:tplc="EC02A6B6">
      <w:start w:val="1"/>
      <w:numFmt w:val="lowerLetter"/>
      <w:pStyle w:val="Letteredbullets"/>
      <w:lvlText w:val="%2)"/>
      <w:lvlJc w:val="left"/>
      <w:pPr>
        <w:ind w:left="6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7F6A71"/>
    <w:multiLevelType w:val="hybridMultilevel"/>
    <w:tmpl w:val="464EA44A"/>
    <w:lvl w:ilvl="0" w:tplc="1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58F5290"/>
    <w:multiLevelType w:val="hybridMultilevel"/>
    <w:tmpl w:val="5C8E0B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6FC020B"/>
    <w:multiLevelType w:val="hybridMultilevel"/>
    <w:tmpl w:val="1C987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B670305"/>
    <w:multiLevelType w:val="hybridMultilevel"/>
    <w:tmpl w:val="38709F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0006343"/>
    <w:multiLevelType w:val="hybridMultilevel"/>
    <w:tmpl w:val="59CE96EA"/>
    <w:lvl w:ilvl="0" w:tplc="14090011">
      <w:start w:val="1"/>
      <w:numFmt w:val="decimal"/>
      <w:lvlText w:val="%1)"/>
      <w:lvlJc w:val="left"/>
      <w:pPr>
        <w:ind w:left="720" w:hanging="360"/>
      </w:pPr>
      <w:rPr>
        <w:rFonts w:hint="default"/>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6D45DA6"/>
    <w:multiLevelType w:val="hybridMultilevel"/>
    <w:tmpl w:val="F65A8D1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707D3F10"/>
    <w:multiLevelType w:val="hybridMultilevel"/>
    <w:tmpl w:val="1E306DDA"/>
    <w:lvl w:ilvl="0" w:tplc="319A487C">
      <w:start w:val="1"/>
      <w:numFmt w:val="lowerLetter"/>
      <w:lvlText w:val="%1)"/>
      <w:lvlJc w:val="left"/>
      <w:pPr>
        <w:ind w:left="720" w:hanging="360"/>
      </w:pPr>
      <w:rPr>
        <w:rFonts w:hint="default"/>
        <w:color w:val="000000"/>
        <w:u w:val="singl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24A4DE1"/>
    <w:multiLevelType w:val="hybridMultilevel"/>
    <w:tmpl w:val="B560BA58"/>
    <w:lvl w:ilvl="0" w:tplc="3CCA973E">
      <w:start w:val="1"/>
      <w:numFmt w:val="bullet"/>
      <w:pStyle w:val="Bulletpoints2"/>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AA279F3"/>
    <w:multiLevelType w:val="hybridMultilevel"/>
    <w:tmpl w:val="557262DA"/>
    <w:lvl w:ilvl="0" w:tplc="14090011">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714039771">
    <w:abstractNumId w:val="9"/>
  </w:num>
  <w:num w:numId="2" w16cid:durableId="341250523">
    <w:abstractNumId w:val="7"/>
  </w:num>
  <w:num w:numId="3" w16cid:durableId="22677790">
    <w:abstractNumId w:val="17"/>
  </w:num>
  <w:num w:numId="4" w16cid:durableId="1530724658">
    <w:abstractNumId w:val="5"/>
  </w:num>
  <w:num w:numId="5" w16cid:durableId="2092189243">
    <w:abstractNumId w:val="0"/>
  </w:num>
  <w:num w:numId="6" w16cid:durableId="355884201">
    <w:abstractNumId w:val="1"/>
  </w:num>
  <w:num w:numId="7" w16cid:durableId="487089877">
    <w:abstractNumId w:val="12"/>
  </w:num>
  <w:num w:numId="8" w16cid:durableId="519976905">
    <w:abstractNumId w:val="14"/>
  </w:num>
  <w:num w:numId="9" w16cid:durableId="946623941">
    <w:abstractNumId w:val="8"/>
  </w:num>
  <w:num w:numId="10" w16cid:durableId="1651593783">
    <w:abstractNumId w:val="15"/>
  </w:num>
  <w:num w:numId="11" w16cid:durableId="2033603416">
    <w:abstractNumId w:val="18"/>
  </w:num>
  <w:num w:numId="12" w16cid:durableId="360594826">
    <w:abstractNumId w:val="16"/>
  </w:num>
  <w:num w:numId="13" w16cid:durableId="1806042893">
    <w:abstractNumId w:val="4"/>
  </w:num>
  <w:num w:numId="14" w16cid:durableId="397214617">
    <w:abstractNumId w:val="11"/>
  </w:num>
  <w:num w:numId="15" w16cid:durableId="1483890272">
    <w:abstractNumId w:val="13"/>
  </w:num>
  <w:num w:numId="16" w16cid:durableId="2074348665">
    <w:abstractNumId w:val="6"/>
  </w:num>
  <w:num w:numId="17" w16cid:durableId="1199509775">
    <w:abstractNumId w:val="2"/>
  </w:num>
  <w:num w:numId="18" w16cid:durableId="1137332229">
    <w:abstractNumId w:val="10"/>
  </w:num>
  <w:num w:numId="19" w16cid:durableId="1096361163">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CF1"/>
    <w:rsid w:val="00007282"/>
    <w:rsid w:val="00013523"/>
    <w:rsid w:val="000209B7"/>
    <w:rsid w:val="000277A9"/>
    <w:rsid w:val="00030DE2"/>
    <w:rsid w:val="00037068"/>
    <w:rsid w:val="00040F8D"/>
    <w:rsid w:val="00044F3F"/>
    <w:rsid w:val="000458D1"/>
    <w:rsid w:val="000521F6"/>
    <w:rsid w:val="00054B49"/>
    <w:rsid w:val="000676FD"/>
    <w:rsid w:val="00082E31"/>
    <w:rsid w:val="00084131"/>
    <w:rsid w:val="00087E84"/>
    <w:rsid w:val="0009272D"/>
    <w:rsid w:val="00096EB2"/>
    <w:rsid w:val="000B224D"/>
    <w:rsid w:val="000B3CC0"/>
    <w:rsid w:val="000B497E"/>
    <w:rsid w:val="000B5E00"/>
    <w:rsid w:val="000D38B1"/>
    <w:rsid w:val="000E4D03"/>
    <w:rsid w:val="000F483B"/>
    <w:rsid w:val="00101A74"/>
    <w:rsid w:val="00101B7B"/>
    <w:rsid w:val="00106300"/>
    <w:rsid w:val="001149DB"/>
    <w:rsid w:val="0011702E"/>
    <w:rsid w:val="001218E6"/>
    <w:rsid w:val="00126AF2"/>
    <w:rsid w:val="00132CF1"/>
    <w:rsid w:val="00137DC9"/>
    <w:rsid w:val="001411C8"/>
    <w:rsid w:val="00146D79"/>
    <w:rsid w:val="0014761F"/>
    <w:rsid w:val="001534C7"/>
    <w:rsid w:val="00155CA1"/>
    <w:rsid w:val="00161391"/>
    <w:rsid w:val="001710B7"/>
    <w:rsid w:val="00173CD9"/>
    <w:rsid w:val="00175D0F"/>
    <w:rsid w:val="00186E74"/>
    <w:rsid w:val="00192981"/>
    <w:rsid w:val="001B23B4"/>
    <w:rsid w:val="001C3E27"/>
    <w:rsid w:val="001C5B33"/>
    <w:rsid w:val="001C6905"/>
    <w:rsid w:val="001C7776"/>
    <w:rsid w:val="001D01CA"/>
    <w:rsid w:val="001D3387"/>
    <w:rsid w:val="001E1669"/>
    <w:rsid w:val="001E5EE1"/>
    <w:rsid w:val="001F0DC5"/>
    <w:rsid w:val="001F0DDA"/>
    <w:rsid w:val="001F2C81"/>
    <w:rsid w:val="00200B2D"/>
    <w:rsid w:val="0020307E"/>
    <w:rsid w:val="00215A3A"/>
    <w:rsid w:val="00217972"/>
    <w:rsid w:val="0022577B"/>
    <w:rsid w:val="0024662D"/>
    <w:rsid w:val="002561E3"/>
    <w:rsid w:val="0026281E"/>
    <w:rsid w:val="002663E4"/>
    <w:rsid w:val="002718AB"/>
    <w:rsid w:val="00273EF4"/>
    <w:rsid w:val="00274634"/>
    <w:rsid w:val="00282355"/>
    <w:rsid w:val="00287032"/>
    <w:rsid w:val="00287D8F"/>
    <w:rsid w:val="002933BC"/>
    <w:rsid w:val="00296559"/>
    <w:rsid w:val="002A3906"/>
    <w:rsid w:val="002A47FD"/>
    <w:rsid w:val="002B0A8B"/>
    <w:rsid w:val="002B3468"/>
    <w:rsid w:val="002B5552"/>
    <w:rsid w:val="002C7F1C"/>
    <w:rsid w:val="002D0EB9"/>
    <w:rsid w:val="002E2211"/>
    <w:rsid w:val="002E4650"/>
    <w:rsid w:val="002F0F6F"/>
    <w:rsid w:val="002F6315"/>
    <w:rsid w:val="003069B6"/>
    <w:rsid w:val="00330D13"/>
    <w:rsid w:val="003324AB"/>
    <w:rsid w:val="00337327"/>
    <w:rsid w:val="003403A7"/>
    <w:rsid w:val="00340C19"/>
    <w:rsid w:val="00340DC3"/>
    <w:rsid w:val="00345150"/>
    <w:rsid w:val="0035070D"/>
    <w:rsid w:val="003531B0"/>
    <w:rsid w:val="00356ACB"/>
    <w:rsid w:val="00361E53"/>
    <w:rsid w:val="0038790A"/>
    <w:rsid w:val="003A10C8"/>
    <w:rsid w:val="003A2AD0"/>
    <w:rsid w:val="003B5FD4"/>
    <w:rsid w:val="003B6641"/>
    <w:rsid w:val="003C06D8"/>
    <w:rsid w:val="003C602B"/>
    <w:rsid w:val="003D4243"/>
    <w:rsid w:val="003D6E29"/>
    <w:rsid w:val="003E4DAD"/>
    <w:rsid w:val="003E5B57"/>
    <w:rsid w:val="003F22E5"/>
    <w:rsid w:val="003F487C"/>
    <w:rsid w:val="004079F7"/>
    <w:rsid w:val="00407E17"/>
    <w:rsid w:val="00412293"/>
    <w:rsid w:val="00413F56"/>
    <w:rsid w:val="004148C7"/>
    <w:rsid w:val="00422C3A"/>
    <w:rsid w:val="00431323"/>
    <w:rsid w:val="00436439"/>
    <w:rsid w:val="00444809"/>
    <w:rsid w:val="00454EB5"/>
    <w:rsid w:val="004555CE"/>
    <w:rsid w:val="00455B0C"/>
    <w:rsid w:val="0046219A"/>
    <w:rsid w:val="00463EBD"/>
    <w:rsid w:val="0046537C"/>
    <w:rsid w:val="004765AE"/>
    <w:rsid w:val="00483F5C"/>
    <w:rsid w:val="0048513A"/>
    <w:rsid w:val="00485610"/>
    <w:rsid w:val="00486516"/>
    <w:rsid w:val="0049276C"/>
    <w:rsid w:val="004A1D67"/>
    <w:rsid w:val="004A3EF3"/>
    <w:rsid w:val="004A7CF9"/>
    <w:rsid w:val="004B2619"/>
    <w:rsid w:val="004B3401"/>
    <w:rsid w:val="004B3D28"/>
    <w:rsid w:val="004B7053"/>
    <w:rsid w:val="004C0200"/>
    <w:rsid w:val="004C11B7"/>
    <w:rsid w:val="004C505E"/>
    <w:rsid w:val="004D1A43"/>
    <w:rsid w:val="004E042F"/>
    <w:rsid w:val="004E2440"/>
    <w:rsid w:val="004E3CF1"/>
    <w:rsid w:val="004F7DAE"/>
    <w:rsid w:val="005074B1"/>
    <w:rsid w:val="005247D4"/>
    <w:rsid w:val="0053421A"/>
    <w:rsid w:val="0053772C"/>
    <w:rsid w:val="005424CC"/>
    <w:rsid w:val="005442C4"/>
    <w:rsid w:val="00554C10"/>
    <w:rsid w:val="00570EFD"/>
    <w:rsid w:val="00574A5B"/>
    <w:rsid w:val="00597598"/>
    <w:rsid w:val="005B0B55"/>
    <w:rsid w:val="005C5D62"/>
    <w:rsid w:val="005D7B3A"/>
    <w:rsid w:val="005E4A5F"/>
    <w:rsid w:val="005F72E8"/>
    <w:rsid w:val="00602474"/>
    <w:rsid w:val="00620315"/>
    <w:rsid w:val="00625943"/>
    <w:rsid w:val="00644EA3"/>
    <w:rsid w:val="00655F51"/>
    <w:rsid w:val="00666A72"/>
    <w:rsid w:val="0067272F"/>
    <w:rsid w:val="00676FAE"/>
    <w:rsid w:val="00681EFA"/>
    <w:rsid w:val="00683DA6"/>
    <w:rsid w:val="00684CAC"/>
    <w:rsid w:val="00693CEE"/>
    <w:rsid w:val="006B049F"/>
    <w:rsid w:val="006B0EEB"/>
    <w:rsid w:val="006B1CA8"/>
    <w:rsid w:val="006B505D"/>
    <w:rsid w:val="006C3F16"/>
    <w:rsid w:val="006C7CCE"/>
    <w:rsid w:val="006D3B16"/>
    <w:rsid w:val="006E09AD"/>
    <w:rsid w:val="006E1113"/>
    <w:rsid w:val="00705FEE"/>
    <w:rsid w:val="00710A3A"/>
    <w:rsid w:val="00721E36"/>
    <w:rsid w:val="007253A7"/>
    <w:rsid w:val="007305C6"/>
    <w:rsid w:val="00732258"/>
    <w:rsid w:val="0074619B"/>
    <w:rsid w:val="00747E5E"/>
    <w:rsid w:val="00752CEE"/>
    <w:rsid w:val="00754138"/>
    <w:rsid w:val="00754DB3"/>
    <w:rsid w:val="0075682C"/>
    <w:rsid w:val="00767762"/>
    <w:rsid w:val="007712C6"/>
    <w:rsid w:val="007B4845"/>
    <w:rsid w:val="007C5624"/>
    <w:rsid w:val="007D7D4F"/>
    <w:rsid w:val="007F223B"/>
    <w:rsid w:val="007F3AD6"/>
    <w:rsid w:val="00801FC5"/>
    <w:rsid w:val="0080534C"/>
    <w:rsid w:val="008059D1"/>
    <w:rsid w:val="00805F54"/>
    <w:rsid w:val="00814844"/>
    <w:rsid w:val="00816CE2"/>
    <w:rsid w:val="008206FD"/>
    <w:rsid w:val="00822274"/>
    <w:rsid w:val="0082409D"/>
    <w:rsid w:val="00840ABD"/>
    <w:rsid w:val="00847C6B"/>
    <w:rsid w:val="00851316"/>
    <w:rsid w:val="0085713E"/>
    <w:rsid w:val="00863572"/>
    <w:rsid w:val="0086541E"/>
    <w:rsid w:val="008658FE"/>
    <w:rsid w:val="00866B20"/>
    <w:rsid w:val="0087788A"/>
    <w:rsid w:val="00877BAB"/>
    <w:rsid w:val="008A46F7"/>
    <w:rsid w:val="008A5505"/>
    <w:rsid w:val="008A5C6E"/>
    <w:rsid w:val="008B3C73"/>
    <w:rsid w:val="008D5FCD"/>
    <w:rsid w:val="008E5AEE"/>
    <w:rsid w:val="00900D8B"/>
    <w:rsid w:val="00901440"/>
    <w:rsid w:val="0090293E"/>
    <w:rsid w:val="00906192"/>
    <w:rsid w:val="00912092"/>
    <w:rsid w:val="00916064"/>
    <w:rsid w:val="00920CB3"/>
    <w:rsid w:val="009231B0"/>
    <w:rsid w:val="009377FC"/>
    <w:rsid w:val="009445FF"/>
    <w:rsid w:val="00944BB4"/>
    <w:rsid w:val="00954B31"/>
    <w:rsid w:val="0097074D"/>
    <w:rsid w:val="00973704"/>
    <w:rsid w:val="0098059F"/>
    <w:rsid w:val="009B5DB4"/>
    <w:rsid w:val="009B6180"/>
    <w:rsid w:val="009C54BA"/>
    <w:rsid w:val="009CD81C"/>
    <w:rsid w:val="009D5F00"/>
    <w:rsid w:val="009E4A54"/>
    <w:rsid w:val="009F195F"/>
    <w:rsid w:val="009F4132"/>
    <w:rsid w:val="009F532B"/>
    <w:rsid w:val="009F61BD"/>
    <w:rsid w:val="00A06676"/>
    <w:rsid w:val="00A12BD6"/>
    <w:rsid w:val="00A1605D"/>
    <w:rsid w:val="00A25298"/>
    <w:rsid w:val="00A25806"/>
    <w:rsid w:val="00A3188A"/>
    <w:rsid w:val="00A32522"/>
    <w:rsid w:val="00A32AA1"/>
    <w:rsid w:val="00A364B2"/>
    <w:rsid w:val="00A4427B"/>
    <w:rsid w:val="00A47C26"/>
    <w:rsid w:val="00A54046"/>
    <w:rsid w:val="00A62D53"/>
    <w:rsid w:val="00A70F41"/>
    <w:rsid w:val="00A71908"/>
    <w:rsid w:val="00A77715"/>
    <w:rsid w:val="00A779DC"/>
    <w:rsid w:val="00A92B1B"/>
    <w:rsid w:val="00A92D1C"/>
    <w:rsid w:val="00AA088B"/>
    <w:rsid w:val="00AA31C9"/>
    <w:rsid w:val="00AA3AF1"/>
    <w:rsid w:val="00AC7906"/>
    <w:rsid w:val="00AD2B0C"/>
    <w:rsid w:val="00AE2533"/>
    <w:rsid w:val="00AE2E8E"/>
    <w:rsid w:val="00AF2209"/>
    <w:rsid w:val="00B126CF"/>
    <w:rsid w:val="00B13FB2"/>
    <w:rsid w:val="00B15CAC"/>
    <w:rsid w:val="00B24188"/>
    <w:rsid w:val="00B26BC2"/>
    <w:rsid w:val="00B31097"/>
    <w:rsid w:val="00B34594"/>
    <w:rsid w:val="00B368D3"/>
    <w:rsid w:val="00B41E8A"/>
    <w:rsid w:val="00B62593"/>
    <w:rsid w:val="00B67393"/>
    <w:rsid w:val="00B73C43"/>
    <w:rsid w:val="00B81A71"/>
    <w:rsid w:val="00B975A2"/>
    <w:rsid w:val="00BB2C1B"/>
    <w:rsid w:val="00BD34F1"/>
    <w:rsid w:val="00BD6B4F"/>
    <w:rsid w:val="00BE01D5"/>
    <w:rsid w:val="00BF167C"/>
    <w:rsid w:val="00BF249C"/>
    <w:rsid w:val="00C120F2"/>
    <w:rsid w:val="00C2734E"/>
    <w:rsid w:val="00C458E7"/>
    <w:rsid w:val="00C47F08"/>
    <w:rsid w:val="00C50B10"/>
    <w:rsid w:val="00C511A1"/>
    <w:rsid w:val="00C52029"/>
    <w:rsid w:val="00C54167"/>
    <w:rsid w:val="00C558F3"/>
    <w:rsid w:val="00C60DAC"/>
    <w:rsid w:val="00C62A8C"/>
    <w:rsid w:val="00C639EB"/>
    <w:rsid w:val="00C65548"/>
    <w:rsid w:val="00C657FB"/>
    <w:rsid w:val="00C82D69"/>
    <w:rsid w:val="00C83EBD"/>
    <w:rsid w:val="00CA2155"/>
    <w:rsid w:val="00CA591B"/>
    <w:rsid w:val="00CA70D5"/>
    <w:rsid w:val="00CA72FB"/>
    <w:rsid w:val="00CE0C50"/>
    <w:rsid w:val="00CF03EA"/>
    <w:rsid w:val="00CF2D03"/>
    <w:rsid w:val="00CF594C"/>
    <w:rsid w:val="00CF66FA"/>
    <w:rsid w:val="00D02837"/>
    <w:rsid w:val="00D04370"/>
    <w:rsid w:val="00D121C1"/>
    <w:rsid w:val="00D30ED3"/>
    <w:rsid w:val="00D32769"/>
    <w:rsid w:val="00D3333B"/>
    <w:rsid w:val="00D34C13"/>
    <w:rsid w:val="00D43A79"/>
    <w:rsid w:val="00D547C6"/>
    <w:rsid w:val="00D60075"/>
    <w:rsid w:val="00D77135"/>
    <w:rsid w:val="00D81976"/>
    <w:rsid w:val="00D85052"/>
    <w:rsid w:val="00D86684"/>
    <w:rsid w:val="00DA144D"/>
    <w:rsid w:val="00DA4479"/>
    <w:rsid w:val="00DA5378"/>
    <w:rsid w:val="00DC0CCF"/>
    <w:rsid w:val="00DC5F8B"/>
    <w:rsid w:val="00DE1293"/>
    <w:rsid w:val="00DF0755"/>
    <w:rsid w:val="00E029CF"/>
    <w:rsid w:val="00E2054F"/>
    <w:rsid w:val="00E33A40"/>
    <w:rsid w:val="00E47602"/>
    <w:rsid w:val="00E532F4"/>
    <w:rsid w:val="00E60EFF"/>
    <w:rsid w:val="00E64D9A"/>
    <w:rsid w:val="00E8216E"/>
    <w:rsid w:val="00E85FF2"/>
    <w:rsid w:val="00E922D8"/>
    <w:rsid w:val="00E92AC9"/>
    <w:rsid w:val="00EB3422"/>
    <w:rsid w:val="00EB510F"/>
    <w:rsid w:val="00EB6B1B"/>
    <w:rsid w:val="00EC5AC0"/>
    <w:rsid w:val="00ED6487"/>
    <w:rsid w:val="00ED77B0"/>
    <w:rsid w:val="00EF019B"/>
    <w:rsid w:val="00EF3A29"/>
    <w:rsid w:val="00EF3D4D"/>
    <w:rsid w:val="00EF5406"/>
    <w:rsid w:val="00F03012"/>
    <w:rsid w:val="00F04E50"/>
    <w:rsid w:val="00F320B5"/>
    <w:rsid w:val="00F32597"/>
    <w:rsid w:val="00F45F24"/>
    <w:rsid w:val="00F47124"/>
    <w:rsid w:val="00F531E1"/>
    <w:rsid w:val="00F536A3"/>
    <w:rsid w:val="00F539CD"/>
    <w:rsid w:val="00F5555C"/>
    <w:rsid w:val="00F55FAB"/>
    <w:rsid w:val="00F57AEA"/>
    <w:rsid w:val="00F724E3"/>
    <w:rsid w:val="00F81537"/>
    <w:rsid w:val="00F85FCE"/>
    <w:rsid w:val="00F961E3"/>
    <w:rsid w:val="00FA3238"/>
    <w:rsid w:val="00FA5F41"/>
    <w:rsid w:val="00FA69FA"/>
    <w:rsid w:val="00FB49B7"/>
    <w:rsid w:val="00FB5BC3"/>
    <w:rsid w:val="00FE393C"/>
    <w:rsid w:val="00FE3A8B"/>
    <w:rsid w:val="00FF722E"/>
    <w:rsid w:val="136D7AF9"/>
    <w:rsid w:val="1714DD81"/>
    <w:rsid w:val="177604F1"/>
    <w:rsid w:val="202A1096"/>
    <w:rsid w:val="2C990E31"/>
    <w:rsid w:val="37883930"/>
    <w:rsid w:val="39F352A9"/>
    <w:rsid w:val="3B193AE4"/>
    <w:rsid w:val="4338183F"/>
    <w:rsid w:val="4847D963"/>
    <w:rsid w:val="675CF5C1"/>
    <w:rsid w:val="67EDFB6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E0129"/>
  <w15:chartTrackingRefBased/>
  <w15:docId w15:val="{BF28279B-3E01-4603-B003-107A81DD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387"/>
    <w:pPr>
      <w:spacing w:line="240" w:lineRule="auto"/>
    </w:pPr>
    <w:rPr>
      <w:rFonts w:ascii="Arial" w:eastAsia="Roboto" w:hAnsi="Arial" w:cs="Arial"/>
      <w:lang w:val="en-US"/>
    </w:rPr>
  </w:style>
  <w:style w:type="paragraph" w:styleId="Heading1">
    <w:name w:val="heading 1"/>
    <w:basedOn w:val="Normal"/>
    <w:next w:val="Normal"/>
    <w:link w:val="Heading1Char"/>
    <w:uiPriority w:val="9"/>
    <w:qFormat/>
    <w:rsid w:val="0046219A"/>
    <w:pPr>
      <w:keepNext/>
      <w:keepLines/>
      <w:spacing w:after="120"/>
      <w:outlineLvl w:val="0"/>
    </w:pPr>
    <w:rPr>
      <w:rFonts w:eastAsiaTheme="majorEastAsia"/>
      <w:b/>
      <w:bCs/>
      <w:noProof/>
      <w:color w:val="15284C" w:themeColor="text1"/>
      <w:sz w:val="44"/>
      <w:szCs w:val="32"/>
      <w:lang w:val="en-NZ"/>
    </w:rPr>
  </w:style>
  <w:style w:type="paragraph" w:styleId="Heading2">
    <w:name w:val="heading 2"/>
    <w:basedOn w:val="Heading1"/>
    <w:next w:val="Normal"/>
    <w:link w:val="Heading2Char"/>
    <w:uiPriority w:val="9"/>
    <w:unhideWhenUsed/>
    <w:qFormat/>
    <w:rsid w:val="0046219A"/>
    <w:pPr>
      <w:spacing w:before="240" w:after="240"/>
      <w:outlineLvl w:val="1"/>
    </w:pPr>
    <w:rPr>
      <w:color w:val="0C818F" w:themeColor="accent3"/>
      <w:sz w:val="32"/>
    </w:rPr>
  </w:style>
  <w:style w:type="paragraph" w:styleId="Heading3">
    <w:name w:val="heading 3"/>
    <w:basedOn w:val="Heading1"/>
    <w:next w:val="Normal"/>
    <w:link w:val="Heading3Char"/>
    <w:uiPriority w:val="9"/>
    <w:unhideWhenUsed/>
    <w:qFormat/>
    <w:rsid w:val="00FA69FA"/>
    <w:pPr>
      <w:spacing w:before="120"/>
      <w:outlineLvl w:val="2"/>
    </w:pPr>
    <w:rPr>
      <w:color w:val="0C818F" w:themeColor="accent3"/>
      <w:sz w:val="28"/>
      <w:szCs w:val="28"/>
    </w:rPr>
  </w:style>
  <w:style w:type="paragraph" w:styleId="Heading4">
    <w:name w:val="heading 4"/>
    <w:basedOn w:val="Title"/>
    <w:next w:val="Normal"/>
    <w:link w:val="Heading4Char"/>
    <w:uiPriority w:val="9"/>
    <w:unhideWhenUsed/>
    <w:qFormat/>
    <w:rsid w:val="0046219A"/>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emplate title"/>
    <w:basedOn w:val="Normal"/>
    <w:link w:val="NoSpacingChar"/>
    <w:uiPriority w:val="1"/>
    <w:qFormat/>
    <w:rsid w:val="00C50B10"/>
    <w:pPr>
      <w:ind w:left="-9214" w:firstLine="9214"/>
    </w:pPr>
    <w:rPr>
      <w:rFonts w:ascii="Poppins" w:hAnsi="Poppins" w:cs="Poppins"/>
      <w:b/>
      <w:bCs/>
      <w:color w:val="15284C"/>
      <w:sz w:val="48"/>
      <w:szCs w:val="48"/>
      <w:lang w:val="en-NZ"/>
    </w:rPr>
  </w:style>
  <w:style w:type="character" w:customStyle="1" w:styleId="NoSpacingChar">
    <w:name w:val="No Spacing Char"/>
    <w:aliases w:val="Template title Char"/>
    <w:basedOn w:val="DefaultParagraphFont"/>
    <w:link w:val="NoSpacing"/>
    <w:uiPriority w:val="1"/>
    <w:rsid w:val="00C50B10"/>
    <w:rPr>
      <w:rFonts w:ascii="Poppins" w:hAnsi="Poppins" w:cs="Poppins"/>
      <w:b/>
      <w:bCs/>
      <w:noProof/>
      <w:color w:val="15284C"/>
      <w:sz w:val="48"/>
      <w:szCs w:val="48"/>
    </w:rPr>
  </w:style>
  <w:style w:type="paragraph" w:styleId="Header">
    <w:name w:val="header"/>
    <w:basedOn w:val="Normal"/>
    <w:link w:val="HeaderChar"/>
    <w:unhideWhenUsed/>
    <w:qFormat/>
    <w:rsid w:val="00EB3422"/>
    <w:pPr>
      <w:tabs>
        <w:tab w:val="center" w:pos="4513"/>
        <w:tab w:val="right" w:pos="9026"/>
      </w:tabs>
      <w:spacing w:after="0"/>
    </w:pPr>
  </w:style>
  <w:style w:type="character" w:customStyle="1" w:styleId="HeaderChar">
    <w:name w:val="Header Char"/>
    <w:basedOn w:val="DefaultParagraphFont"/>
    <w:link w:val="Header"/>
    <w:uiPriority w:val="99"/>
    <w:rsid w:val="00EB3422"/>
  </w:style>
  <w:style w:type="paragraph" w:styleId="Footer">
    <w:name w:val="footer"/>
    <w:basedOn w:val="Normal"/>
    <w:link w:val="FooterChar"/>
    <w:uiPriority w:val="99"/>
    <w:unhideWhenUsed/>
    <w:rsid w:val="00EB3422"/>
    <w:pPr>
      <w:tabs>
        <w:tab w:val="center" w:pos="4513"/>
        <w:tab w:val="right" w:pos="9026"/>
      </w:tabs>
      <w:spacing w:after="0"/>
    </w:pPr>
  </w:style>
  <w:style w:type="character" w:customStyle="1" w:styleId="FooterChar">
    <w:name w:val="Footer Char"/>
    <w:basedOn w:val="DefaultParagraphFont"/>
    <w:link w:val="Footer"/>
    <w:uiPriority w:val="99"/>
    <w:rsid w:val="00EB3422"/>
  </w:style>
  <w:style w:type="character" w:customStyle="1" w:styleId="Heading1Char">
    <w:name w:val="Heading 1 Char"/>
    <w:basedOn w:val="DefaultParagraphFont"/>
    <w:link w:val="Heading1"/>
    <w:uiPriority w:val="9"/>
    <w:rsid w:val="0046219A"/>
    <w:rPr>
      <w:rFonts w:ascii="Arial" w:eastAsiaTheme="majorEastAsia" w:hAnsi="Arial" w:cs="Arial"/>
      <w:b/>
      <w:bCs/>
      <w:noProof/>
      <w:color w:val="15284C" w:themeColor="text1"/>
      <w:sz w:val="44"/>
      <w:szCs w:val="32"/>
    </w:rPr>
  </w:style>
  <w:style w:type="paragraph" w:styleId="TOCHeading">
    <w:name w:val="TOC Heading"/>
    <w:basedOn w:val="Heading1"/>
    <w:next w:val="Normal"/>
    <w:uiPriority w:val="39"/>
    <w:unhideWhenUsed/>
    <w:rsid w:val="00EB3422"/>
    <w:pPr>
      <w:outlineLvl w:val="9"/>
    </w:pPr>
    <w:rPr>
      <w:b w:val="0"/>
      <w:bCs w:val="0"/>
    </w:rPr>
  </w:style>
  <w:style w:type="character" w:customStyle="1" w:styleId="Heading2Char">
    <w:name w:val="Heading 2 Char"/>
    <w:basedOn w:val="DefaultParagraphFont"/>
    <w:link w:val="Heading2"/>
    <w:uiPriority w:val="9"/>
    <w:rsid w:val="0046219A"/>
    <w:rPr>
      <w:rFonts w:ascii="Arial" w:eastAsiaTheme="majorEastAsia" w:hAnsi="Arial" w:cs="Arial"/>
      <w:b/>
      <w:bCs/>
      <w:noProof/>
      <w:color w:val="0C818F" w:themeColor="accent3"/>
      <w:sz w:val="32"/>
      <w:szCs w:val="32"/>
    </w:rPr>
  </w:style>
  <w:style w:type="character" w:customStyle="1" w:styleId="Heading3Char">
    <w:name w:val="Heading 3 Char"/>
    <w:basedOn w:val="DefaultParagraphFont"/>
    <w:link w:val="Heading3"/>
    <w:uiPriority w:val="9"/>
    <w:rsid w:val="00FA69FA"/>
    <w:rPr>
      <w:rFonts w:ascii="Arial" w:eastAsiaTheme="majorEastAsia" w:hAnsi="Arial" w:cs="Arial"/>
      <w:b/>
      <w:bCs/>
      <w:noProof/>
      <w:color w:val="0C818F" w:themeColor="accent3"/>
      <w:sz w:val="28"/>
      <w:szCs w:val="28"/>
    </w:rPr>
  </w:style>
  <w:style w:type="paragraph" w:styleId="TOC1">
    <w:name w:val="toc 1"/>
    <w:basedOn w:val="Normal"/>
    <w:next w:val="Normal"/>
    <w:autoRedefine/>
    <w:uiPriority w:val="39"/>
    <w:unhideWhenUsed/>
    <w:rsid w:val="00EB3422"/>
    <w:pPr>
      <w:spacing w:after="100"/>
    </w:pPr>
  </w:style>
  <w:style w:type="paragraph" w:styleId="TOC2">
    <w:name w:val="toc 2"/>
    <w:basedOn w:val="Normal"/>
    <w:next w:val="Normal"/>
    <w:autoRedefine/>
    <w:uiPriority w:val="39"/>
    <w:unhideWhenUsed/>
    <w:rsid w:val="00EB3422"/>
    <w:pPr>
      <w:spacing w:after="100"/>
      <w:ind w:left="220"/>
    </w:pPr>
  </w:style>
  <w:style w:type="paragraph" w:styleId="TOC3">
    <w:name w:val="toc 3"/>
    <w:basedOn w:val="Normal"/>
    <w:next w:val="Normal"/>
    <w:autoRedefine/>
    <w:uiPriority w:val="39"/>
    <w:unhideWhenUsed/>
    <w:rsid w:val="00EB3422"/>
    <w:pPr>
      <w:spacing w:after="100"/>
      <w:ind w:left="440"/>
    </w:pPr>
  </w:style>
  <w:style w:type="character" w:styleId="Hyperlink">
    <w:name w:val="Hyperlink"/>
    <w:basedOn w:val="DefaultParagraphFont"/>
    <w:uiPriority w:val="99"/>
    <w:unhideWhenUsed/>
    <w:rsid w:val="00EB3422"/>
    <w:rPr>
      <w:color w:val="2B529C" w:themeColor="hyperlink"/>
      <w:u w:val="single"/>
    </w:rPr>
  </w:style>
  <w:style w:type="table" w:styleId="TableGrid">
    <w:name w:val="Table Grid"/>
    <w:basedOn w:val="TableNormal"/>
    <w:uiPriority w:val="39"/>
    <w:rsid w:val="00840ABD"/>
    <w:pPr>
      <w:spacing w:before="120" w:after="120"/>
      <w:ind w:left="454" w:hanging="454"/>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120" w:beforeAutospacing="0" w:afterLines="0" w:after="120" w:afterAutospacing="0"/>
      </w:pPr>
      <w:rPr>
        <w:rFonts w:ascii="Arial" w:hAnsi="Arial"/>
        <w:b/>
        <w:color w:val="auto"/>
        <w:sz w:val="20"/>
      </w:rPr>
      <w:tblPr/>
      <w:tcPr>
        <w:shd w:val="clear" w:color="auto" w:fill="F2F2F2" w:themeFill="accent4" w:themeFillShade="F2"/>
      </w:tcPr>
    </w:tblStylePr>
  </w:style>
  <w:style w:type="table" w:styleId="TableGridLight">
    <w:name w:val="Grid Table Light"/>
    <w:basedOn w:val="TableNormal"/>
    <w:uiPriority w:val="40"/>
    <w:rsid w:val="00175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Arial" w:hAnsi="Arial"/>
        <w:b/>
        <w:color w:val="F6F4EC" w:themeColor="background1"/>
        <w:sz w:val="24"/>
      </w:rPr>
      <w:tblPr/>
      <w:tcPr>
        <w:shd w:val="clear" w:color="auto" w:fill="15284C"/>
      </w:tcPr>
    </w:tblStylePr>
    <w:tblStylePr w:type="nwCell">
      <w:tblPr/>
      <w:tcPr>
        <w:tcBorders>
          <w:top w:val="nil"/>
          <w:left w:val="nil"/>
          <w:bottom w:val="nil"/>
          <w:right w:val="nil"/>
          <w:insideH w:val="nil"/>
          <w:insideV w:val="nil"/>
          <w:tl2br w:val="nil"/>
          <w:tr2bl w:val="nil"/>
        </w:tcBorders>
        <w:shd w:val="clear" w:color="auto" w:fill="F6F4EC" w:themeFill="background1"/>
      </w:tcPr>
    </w:tblStylePr>
  </w:style>
  <w:style w:type="table" w:styleId="ListTable4-Accent5">
    <w:name w:val="List Table 4 Accent 5"/>
    <w:basedOn w:val="TableNormal"/>
    <w:uiPriority w:val="49"/>
    <w:rsid w:val="005247D4"/>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tcBorders>
        <w:shd w:val="clear" w:color="auto" w:fill="15284C" w:themeFill="accent5"/>
      </w:tcPr>
    </w:tblStylePr>
    <w:tblStylePr w:type="lastRow">
      <w:rPr>
        <w:b/>
        <w:bCs/>
      </w:rPr>
      <w:tblPr/>
      <w:tcPr>
        <w:tcBorders>
          <w:top w:val="double" w:sz="4" w:space="0" w:color="3C6DC9" w:themeColor="accent5" w:themeTint="99"/>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table" w:styleId="PlainTable4">
    <w:name w:val="Plain Table 4"/>
    <w:basedOn w:val="TableNormal"/>
    <w:uiPriority w:val="44"/>
    <w:rsid w:val="000E4D0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EADB" w:themeFill="background1" w:themeFillShade="F2"/>
      </w:tcPr>
    </w:tblStylePr>
    <w:tblStylePr w:type="band1Horz">
      <w:tblPr/>
      <w:tcPr>
        <w:shd w:val="clear" w:color="auto" w:fill="EEEADB" w:themeFill="background1" w:themeFillShade="F2"/>
      </w:tcPr>
    </w:tblStylePr>
  </w:style>
  <w:style w:type="table" w:styleId="ListTable5Dark-Accent6">
    <w:name w:val="List Table 5 Dark Accent 6"/>
    <w:basedOn w:val="TableNormal"/>
    <w:uiPriority w:val="50"/>
    <w:rsid w:val="000E4D03"/>
    <w:pPr>
      <w:spacing w:after="0" w:line="240" w:lineRule="auto"/>
    </w:pPr>
    <w:rPr>
      <w:color w:val="F6F4EC"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6F4EC" w:themeColor="background1"/>
        </w:tcBorders>
      </w:tcPr>
    </w:tblStylePr>
    <w:tblStylePr w:type="lastRow">
      <w:rPr>
        <w:b/>
        <w:bCs/>
      </w:rPr>
      <w:tblPr/>
      <w:tcPr>
        <w:tcBorders>
          <w:top w:val="single" w:sz="4" w:space="0" w:color="F6F4EC" w:themeColor="background1"/>
        </w:tcBorders>
      </w:tcPr>
    </w:tblStylePr>
    <w:tblStylePr w:type="firstCol">
      <w:rPr>
        <w:b/>
        <w:bCs/>
      </w:rPr>
      <w:tblPr/>
      <w:tcPr>
        <w:tcBorders>
          <w:right w:val="single" w:sz="4" w:space="0" w:color="F6F4EC" w:themeColor="background1"/>
        </w:tcBorders>
      </w:tcPr>
    </w:tblStylePr>
    <w:tblStylePr w:type="lastCol">
      <w:rPr>
        <w:b/>
        <w:bCs/>
      </w:rPr>
      <w:tblPr/>
      <w:tcPr>
        <w:tcBorders>
          <w:left w:val="single" w:sz="4" w:space="0" w:color="F6F4EC" w:themeColor="background1"/>
        </w:tcBorders>
      </w:tcPr>
    </w:tblStylePr>
    <w:tblStylePr w:type="band1Vert">
      <w:tblPr/>
      <w:tcPr>
        <w:tcBorders>
          <w:left w:val="single" w:sz="4" w:space="0" w:color="F6F4EC" w:themeColor="background1"/>
          <w:right w:val="single" w:sz="4" w:space="0" w:color="F6F4EC" w:themeColor="background1"/>
        </w:tcBorders>
      </w:tcPr>
    </w:tblStylePr>
    <w:tblStylePr w:type="band2Vert">
      <w:tblPr/>
      <w:tcPr>
        <w:tcBorders>
          <w:left w:val="single" w:sz="4" w:space="0" w:color="F6F4EC" w:themeColor="background1"/>
          <w:right w:val="single" w:sz="4" w:space="0" w:color="F6F4EC" w:themeColor="background1"/>
        </w:tcBorders>
      </w:tcPr>
    </w:tblStylePr>
    <w:tblStylePr w:type="band1Horz">
      <w:tblPr/>
      <w:tcPr>
        <w:tcBorders>
          <w:top w:val="single" w:sz="4" w:space="0" w:color="F6F4EC" w:themeColor="background1"/>
          <w:bottom w:val="single" w:sz="4" w:space="0" w:color="F6F4E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2">
    <w:name w:val="List Table 4 Accent 2"/>
    <w:basedOn w:val="TableNormal"/>
    <w:uiPriority w:val="49"/>
    <w:rsid w:val="00863572"/>
    <w:pPr>
      <w:spacing w:after="0" w:line="240" w:lineRule="auto"/>
    </w:pPr>
    <w:tblPr>
      <w:tblStyleRowBandSize w:val="1"/>
      <w:tblStyleColBandSize w:val="1"/>
      <w:tblBorders>
        <w:top w:val="single" w:sz="4" w:space="0" w:color="2870FF" w:themeColor="accent2" w:themeTint="99"/>
        <w:left w:val="single" w:sz="4" w:space="0" w:color="2870FF" w:themeColor="accent2" w:themeTint="99"/>
        <w:bottom w:val="single" w:sz="4" w:space="0" w:color="2870FF" w:themeColor="accent2" w:themeTint="99"/>
        <w:right w:val="single" w:sz="4" w:space="0" w:color="2870FF" w:themeColor="accent2" w:themeTint="99"/>
        <w:insideH w:val="single" w:sz="4" w:space="0" w:color="2870FF" w:themeColor="accent2" w:themeTint="99"/>
      </w:tblBorders>
    </w:tblPr>
    <w:tblStylePr w:type="firstRow">
      <w:rPr>
        <w:b/>
        <w:bCs/>
        <w:color w:val="F6F4EC" w:themeColor="background1"/>
      </w:rPr>
      <w:tblPr/>
      <w:tcPr>
        <w:tcBorders>
          <w:top w:val="single" w:sz="4" w:space="0" w:color="003399" w:themeColor="accent2"/>
          <w:left w:val="single" w:sz="4" w:space="0" w:color="003399" w:themeColor="accent2"/>
          <w:bottom w:val="single" w:sz="4" w:space="0" w:color="003399" w:themeColor="accent2"/>
          <w:right w:val="single" w:sz="4" w:space="0" w:color="003399" w:themeColor="accent2"/>
          <w:insideH w:val="nil"/>
        </w:tcBorders>
        <w:shd w:val="clear" w:color="auto" w:fill="003399" w:themeFill="accent2"/>
      </w:tcPr>
    </w:tblStylePr>
    <w:tblStylePr w:type="lastRow">
      <w:rPr>
        <w:b/>
        <w:bCs/>
      </w:rPr>
      <w:tblPr/>
      <w:tcPr>
        <w:tcBorders>
          <w:top w:val="double" w:sz="4" w:space="0" w:color="2870FF" w:themeColor="accent2" w:themeTint="99"/>
        </w:tcBorders>
      </w:tcPr>
    </w:tblStylePr>
    <w:tblStylePr w:type="firstCol">
      <w:rPr>
        <w:b/>
        <w:bCs/>
      </w:rPr>
    </w:tblStylePr>
    <w:tblStylePr w:type="lastCol">
      <w:rPr>
        <w:b/>
        <w:bCs/>
      </w:rPr>
    </w:tblStylePr>
    <w:tblStylePr w:type="band1Vert">
      <w:tblPr/>
      <w:tcPr>
        <w:shd w:val="clear" w:color="auto" w:fill="B7CFFF" w:themeFill="accent2" w:themeFillTint="33"/>
      </w:tcPr>
    </w:tblStylePr>
    <w:tblStylePr w:type="band1Horz">
      <w:tblPr/>
      <w:tcPr>
        <w:shd w:val="clear" w:color="auto" w:fill="B7CFFF" w:themeFill="accent2" w:themeFillTint="33"/>
      </w:tcPr>
    </w:tblStylePr>
  </w:style>
  <w:style w:type="table" w:styleId="ListTable4-Accent3">
    <w:name w:val="List Table 4 Accent 3"/>
    <w:basedOn w:val="TableNormal"/>
    <w:uiPriority w:val="49"/>
    <w:rsid w:val="00863572"/>
    <w:pPr>
      <w:spacing w:after="0" w:line="240" w:lineRule="auto"/>
    </w:pPr>
    <w:tblPr>
      <w:tblStyleRowBandSize w:val="1"/>
      <w:tblStyleColBandSize w:val="1"/>
      <w:tblBorders>
        <w:top w:val="single" w:sz="4" w:space="0" w:color="3ADAEE" w:themeColor="accent3" w:themeTint="99"/>
        <w:left w:val="single" w:sz="4" w:space="0" w:color="3ADAEE" w:themeColor="accent3" w:themeTint="99"/>
        <w:bottom w:val="single" w:sz="4" w:space="0" w:color="3ADAEE" w:themeColor="accent3" w:themeTint="99"/>
        <w:right w:val="single" w:sz="4" w:space="0" w:color="3ADAEE" w:themeColor="accent3" w:themeTint="99"/>
        <w:insideH w:val="single" w:sz="4" w:space="0" w:color="3ADAEE" w:themeColor="accent3" w:themeTint="99"/>
      </w:tblBorders>
    </w:tblPr>
    <w:tblStylePr w:type="firstRow">
      <w:rPr>
        <w:b/>
        <w:bCs/>
        <w:color w:val="F6F4EC" w:themeColor="background1"/>
      </w:rPr>
      <w:tblPr/>
      <w:tcPr>
        <w:tcBorders>
          <w:top w:val="single" w:sz="4" w:space="0" w:color="0C818F" w:themeColor="accent3"/>
          <w:left w:val="single" w:sz="4" w:space="0" w:color="0C818F" w:themeColor="accent3"/>
          <w:bottom w:val="single" w:sz="4" w:space="0" w:color="0C818F" w:themeColor="accent3"/>
          <w:right w:val="single" w:sz="4" w:space="0" w:color="0C818F" w:themeColor="accent3"/>
          <w:insideH w:val="nil"/>
        </w:tcBorders>
        <w:shd w:val="clear" w:color="auto" w:fill="0C818F" w:themeFill="accent3"/>
      </w:tcPr>
    </w:tblStylePr>
    <w:tblStylePr w:type="lastRow">
      <w:rPr>
        <w:b/>
        <w:bCs/>
      </w:rPr>
      <w:tblPr/>
      <w:tcPr>
        <w:tcBorders>
          <w:top w:val="double" w:sz="4" w:space="0" w:color="3ADAEE" w:themeColor="accent3" w:themeTint="99"/>
        </w:tcBorders>
      </w:tcPr>
    </w:tblStylePr>
    <w:tblStylePr w:type="firstCol">
      <w:rPr>
        <w:b/>
        <w:bCs/>
      </w:rPr>
    </w:tblStylePr>
    <w:tblStylePr w:type="lastCol">
      <w:rPr>
        <w:b/>
        <w:bCs/>
      </w:rPr>
    </w:tblStylePr>
    <w:tblStylePr w:type="band1Vert">
      <w:tblPr/>
      <w:tcPr>
        <w:shd w:val="clear" w:color="auto" w:fill="BDF3F9" w:themeFill="accent3" w:themeFillTint="33"/>
      </w:tcPr>
    </w:tblStylePr>
    <w:tblStylePr w:type="band1Horz">
      <w:tblPr/>
      <w:tcPr>
        <w:shd w:val="clear" w:color="auto" w:fill="BDF3F9" w:themeFill="accent3" w:themeFillTint="33"/>
      </w:tcPr>
    </w:tblStylePr>
  </w:style>
  <w:style w:type="table" w:styleId="ListTable3">
    <w:name w:val="List Table 3"/>
    <w:basedOn w:val="TableNormal"/>
    <w:uiPriority w:val="48"/>
    <w:rsid w:val="00863572"/>
    <w:pPr>
      <w:spacing w:after="0" w:line="240" w:lineRule="auto"/>
    </w:pPr>
    <w:tblPr>
      <w:tblStyleRowBandSize w:val="1"/>
      <w:tblStyleColBandSize w:val="1"/>
      <w:tblBorders>
        <w:top w:val="single" w:sz="4" w:space="0" w:color="15284C" w:themeColor="text1"/>
        <w:left w:val="single" w:sz="4" w:space="0" w:color="15284C" w:themeColor="text1"/>
        <w:bottom w:val="single" w:sz="4" w:space="0" w:color="15284C" w:themeColor="text1"/>
        <w:right w:val="single" w:sz="4" w:space="0" w:color="15284C" w:themeColor="text1"/>
      </w:tblBorders>
    </w:tblPr>
    <w:tblStylePr w:type="firstRow">
      <w:rPr>
        <w:b/>
        <w:bCs/>
        <w:color w:val="F6F4EC" w:themeColor="background1"/>
      </w:rPr>
      <w:tblPr/>
      <w:tcPr>
        <w:shd w:val="clear" w:color="auto" w:fill="15284C" w:themeFill="text1"/>
      </w:tcPr>
    </w:tblStylePr>
    <w:tblStylePr w:type="lastRow">
      <w:rPr>
        <w:b/>
        <w:bCs/>
      </w:rPr>
      <w:tblPr/>
      <w:tcPr>
        <w:tcBorders>
          <w:top w:val="double" w:sz="4" w:space="0" w:color="15284C" w:themeColor="text1"/>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15284C" w:themeColor="text1"/>
          <w:right w:val="single" w:sz="4" w:space="0" w:color="15284C" w:themeColor="text1"/>
        </w:tcBorders>
      </w:tcPr>
    </w:tblStylePr>
    <w:tblStylePr w:type="band1Horz">
      <w:tblPr/>
      <w:tcPr>
        <w:tcBorders>
          <w:top w:val="single" w:sz="4" w:space="0" w:color="15284C" w:themeColor="text1"/>
          <w:bottom w:val="single" w:sz="4" w:space="0" w:color="15284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284C" w:themeColor="text1"/>
          <w:left w:val="nil"/>
        </w:tcBorders>
      </w:tcPr>
    </w:tblStylePr>
    <w:tblStylePr w:type="swCell">
      <w:tblPr/>
      <w:tcPr>
        <w:tcBorders>
          <w:top w:val="double" w:sz="4" w:space="0" w:color="15284C" w:themeColor="text1"/>
          <w:right w:val="nil"/>
        </w:tcBorders>
      </w:tcPr>
    </w:tblStylePr>
  </w:style>
  <w:style w:type="table" w:styleId="ListTable4-Accent1">
    <w:name w:val="List Table 4 Accent 1"/>
    <w:basedOn w:val="TableNormal"/>
    <w:uiPriority w:val="49"/>
    <w:rsid w:val="00863572"/>
    <w:pPr>
      <w:spacing w:after="0" w:line="240" w:lineRule="auto"/>
    </w:pPr>
    <w:tblPr>
      <w:tblStyleRowBandSize w:val="1"/>
      <w:tblStyleColBandSize w:val="1"/>
      <w:tblBorders>
        <w:top w:val="single" w:sz="4" w:space="0" w:color="935ACF" w:themeColor="accent1" w:themeTint="99"/>
        <w:left w:val="single" w:sz="4" w:space="0" w:color="935ACF" w:themeColor="accent1" w:themeTint="99"/>
        <w:bottom w:val="single" w:sz="4" w:space="0" w:color="935ACF" w:themeColor="accent1" w:themeTint="99"/>
        <w:right w:val="single" w:sz="4" w:space="0" w:color="935ACF" w:themeColor="accent1" w:themeTint="99"/>
        <w:insideH w:val="single" w:sz="4" w:space="0" w:color="935ACF" w:themeColor="accent1" w:themeTint="99"/>
      </w:tblBorders>
    </w:tblPr>
    <w:tblStylePr w:type="firstRow">
      <w:rPr>
        <w:b/>
        <w:bCs/>
        <w:color w:val="F6F4EC" w:themeColor="background1"/>
      </w:rPr>
      <w:tblPr/>
      <w:tcPr>
        <w:tcBorders>
          <w:top w:val="single" w:sz="4" w:space="0" w:color="4D2379" w:themeColor="accent1"/>
          <w:left w:val="single" w:sz="4" w:space="0" w:color="4D2379" w:themeColor="accent1"/>
          <w:bottom w:val="single" w:sz="4" w:space="0" w:color="4D2379" w:themeColor="accent1"/>
          <w:right w:val="single" w:sz="4" w:space="0" w:color="4D2379" w:themeColor="accent1"/>
          <w:insideH w:val="nil"/>
        </w:tcBorders>
        <w:shd w:val="clear" w:color="auto" w:fill="4D2379" w:themeFill="accent1"/>
      </w:tcPr>
    </w:tblStylePr>
    <w:tblStylePr w:type="lastRow">
      <w:rPr>
        <w:b/>
        <w:bCs/>
      </w:rPr>
      <w:tblPr/>
      <w:tcPr>
        <w:tcBorders>
          <w:top w:val="double" w:sz="4" w:space="0" w:color="935ACF" w:themeColor="accent1" w:themeTint="99"/>
        </w:tcBorders>
      </w:tcPr>
    </w:tblStylePr>
    <w:tblStylePr w:type="firstCol">
      <w:rPr>
        <w:b/>
        <w:bCs/>
      </w:rPr>
    </w:tblStylePr>
    <w:tblStylePr w:type="lastCol">
      <w:rPr>
        <w:b/>
        <w:bCs/>
      </w:rPr>
    </w:tblStylePr>
    <w:tblStylePr w:type="band1Vert">
      <w:tblPr/>
      <w:tcPr>
        <w:shd w:val="clear" w:color="auto" w:fill="DAC7EF" w:themeFill="accent1" w:themeFillTint="33"/>
      </w:tcPr>
    </w:tblStylePr>
    <w:tblStylePr w:type="band1Horz">
      <w:tblPr/>
      <w:tcPr>
        <w:shd w:val="clear" w:color="auto" w:fill="DAC7EF" w:themeFill="accent1" w:themeFillTint="33"/>
      </w:tcPr>
    </w:tblStylePr>
  </w:style>
  <w:style w:type="table" w:styleId="ListTable4">
    <w:name w:val="List Table 4"/>
    <w:basedOn w:val="TableNormal"/>
    <w:uiPriority w:val="49"/>
    <w:rsid w:val="00863572"/>
    <w:pPr>
      <w:spacing w:after="0" w:line="240" w:lineRule="auto"/>
    </w:pPr>
    <w:tblPr>
      <w:tblStyleRowBandSize w:val="1"/>
      <w:tblStyleColBandSize w:val="1"/>
      <w:tblBorders>
        <w:top w:val="single" w:sz="4" w:space="0" w:color="3C6DC9" w:themeColor="text1" w:themeTint="99"/>
        <w:left w:val="single" w:sz="4" w:space="0" w:color="3C6DC9" w:themeColor="text1" w:themeTint="99"/>
        <w:bottom w:val="single" w:sz="4" w:space="0" w:color="3C6DC9" w:themeColor="text1" w:themeTint="99"/>
        <w:right w:val="single" w:sz="4" w:space="0" w:color="3C6DC9" w:themeColor="text1" w:themeTint="99"/>
        <w:insideH w:val="single" w:sz="4" w:space="0" w:color="3C6DC9" w:themeColor="text1" w:themeTint="99"/>
      </w:tblBorders>
    </w:tblPr>
    <w:tblStylePr w:type="firstRow">
      <w:rPr>
        <w:b/>
        <w:bCs/>
        <w:color w:val="F6F4EC" w:themeColor="background1"/>
      </w:rPr>
      <w:tblPr/>
      <w:tcPr>
        <w:tcBorders>
          <w:top w:val="single" w:sz="4" w:space="0" w:color="15284C" w:themeColor="text1"/>
          <w:left w:val="single" w:sz="4" w:space="0" w:color="15284C" w:themeColor="text1"/>
          <w:bottom w:val="single" w:sz="4" w:space="0" w:color="15284C" w:themeColor="text1"/>
          <w:right w:val="single" w:sz="4" w:space="0" w:color="15284C" w:themeColor="text1"/>
          <w:insideH w:val="nil"/>
        </w:tcBorders>
        <w:shd w:val="clear" w:color="auto" w:fill="15284C" w:themeFill="text1"/>
      </w:tcPr>
    </w:tblStylePr>
    <w:tblStylePr w:type="lastRow">
      <w:rPr>
        <w:b/>
        <w:bCs/>
      </w:rPr>
      <w:tblPr/>
      <w:tcPr>
        <w:tcBorders>
          <w:top w:val="double" w:sz="4" w:space="0" w:color="3C6DC9" w:themeColor="text1" w:themeTint="99"/>
        </w:tcBorders>
      </w:tcPr>
    </w:tblStylePr>
    <w:tblStylePr w:type="firstCol">
      <w:rPr>
        <w:b/>
        <w:bCs/>
      </w:rPr>
    </w:tblStylePr>
    <w:tblStylePr w:type="lastCol">
      <w:rPr>
        <w:b/>
        <w:bCs/>
      </w:rPr>
    </w:tblStylePr>
    <w:tblStylePr w:type="band1Vert">
      <w:tblPr/>
      <w:tcPr>
        <w:shd w:val="clear" w:color="auto" w:fill="BECEED" w:themeFill="text1" w:themeFillTint="33"/>
      </w:tcPr>
    </w:tblStylePr>
    <w:tblStylePr w:type="band1Horz">
      <w:tblPr/>
      <w:tcPr>
        <w:shd w:val="clear" w:color="auto" w:fill="BECEED" w:themeFill="text1" w:themeFillTint="33"/>
      </w:tcPr>
    </w:tblStylePr>
  </w:style>
  <w:style w:type="table" w:styleId="ListTable3-Accent3">
    <w:name w:val="List Table 3 Accent 3"/>
    <w:basedOn w:val="TableNormal"/>
    <w:uiPriority w:val="48"/>
    <w:rsid w:val="00863572"/>
    <w:pPr>
      <w:spacing w:after="0" w:line="240" w:lineRule="auto"/>
    </w:pPr>
    <w:tblPr>
      <w:tblStyleRowBandSize w:val="1"/>
      <w:tblStyleColBandSize w:val="1"/>
      <w:tblBorders>
        <w:top w:val="single" w:sz="4" w:space="0" w:color="0C818F" w:themeColor="accent3"/>
        <w:left w:val="single" w:sz="4" w:space="0" w:color="0C818F" w:themeColor="accent3"/>
        <w:bottom w:val="single" w:sz="4" w:space="0" w:color="0C818F" w:themeColor="accent3"/>
        <w:right w:val="single" w:sz="4" w:space="0" w:color="0C818F" w:themeColor="accent3"/>
      </w:tblBorders>
    </w:tblPr>
    <w:tblStylePr w:type="firstRow">
      <w:rPr>
        <w:b/>
        <w:bCs/>
        <w:color w:val="F6F4EC" w:themeColor="background1"/>
      </w:rPr>
      <w:tblPr/>
      <w:tcPr>
        <w:shd w:val="clear" w:color="auto" w:fill="0C818F" w:themeFill="accent3"/>
      </w:tcPr>
    </w:tblStylePr>
    <w:tblStylePr w:type="lastRow">
      <w:rPr>
        <w:b/>
        <w:bCs/>
      </w:rPr>
      <w:tblPr/>
      <w:tcPr>
        <w:tcBorders>
          <w:top w:val="double" w:sz="4" w:space="0" w:color="0C818F" w:themeColor="accent3"/>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0C818F" w:themeColor="accent3"/>
          <w:right w:val="single" w:sz="4" w:space="0" w:color="0C818F" w:themeColor="accent3"/>
        </w:tcBorders>
      </w:tcPr>
    </w:tblStylePr>
    <w:tblStylePr w:type="band1Horz">
      <w:tblPr/>
      <w:tcPr>
        <w:tcBorders>
          <w:top w:val="single" w:sz="4" w:space="0" w:color="0C818F" w:themeColor="accent3"/>
          <w:bottom w:val="single" w:sz="4" w:space="0" w:color="0C818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C818F" w:themeColor="accent3"/>
          <w:left w:val="nil"/>
        </w:tcBorders>
      </w:tcPr>
    </w:tblStylePr>
    <w:tblStylePr w:type="swCell">
      <w:tblPr/>
      <w:tcPr>
        <w:tcBorders>
          <w:top w:val="double" w:sz="4" w:space="0" w:color="0C818F" w:themeColor="accent3"/>
          <w:right w:val="nil"/>
        </w:tcBorders>
      </w:tcPr>
    </w:tblStylePr>
  </w:style>
  <w:style w:type="paragraph" w:styleId="ListParagraph">
    <w:name w:val="List Paragraph"/>
    <w:aliases w:val="Bullets,Level 3,List Paragraph1,List Paragraph numbered,List Bullet indent,Body,Recommendation,List Paragraph11,TOC style,lp1,Bullet OSM,Proposal Bullet List,Rec para,Bullet Normal,Colorful List - Accent 11,Bullet Heading,列出段落,Bullet list"/>
    <w:basedOn w:val="Normal"/>
    <w:link w:val="ListParagraphChar"/>
    <w:uiPriority w:val="34"/>
    <w:qFormat/>
    <w:rsid w:val="004079F7"/>
    <w:pPr>
      <w:ind w:left="720"/>
      <w:contextualSpacing/>
    </w:pPr>
  </w:style>
  <w:style w:type="paragraph" w:styleId="BodyText">
    <w:name w:val="Body Text"/>
    <w:basedOn w:val="Normal"/>
    <w:link w:val="BodyTextChar"/>
    <w:semiHidden/>
    <w:rsid w:val="00C639EB"/>
    <w:pPr>
      <w:spacing w:after="120" w:line="240" w:lineRule="atLeast"/>
      <w:jc w:val="both"/>
    </w:pPr>
    <w:rPr>
      <w:rFonts w:eastAsia="Times New Roman"/>
      <w:kern w:val="22"/>
      <w:lang w:val="en-NZ"/>
    </w:rPr>
  </w:style>
  <w:style w:type="character" w:customStyle="1" w:styleId="BodyTextChar">
    <w:name w:val="Body Text Char"/>
    <w:basedOn w:val="DefaultParagraphFont"/>
    <w:link w:val="BodyText"/>
    <w:rsid w:val="00C639EB"/>
    <w:rPr>
      <w:rFonts w:ascii="Arial" w:eastAsia="Times New Roman" w:hAnsi="Arial" w:cs="Arial"/>
      <w:kern w:val="22"/>
    </w:rPr>
  </w:style>
  <w:style w:type="paragraph" w:customStyle="1" w:styleId="Letteredbullets">
    <w:name w:val="Lettered bullets"/>
    <w:basedOn w:val="Numberedbullets"/>
    <w:qFormat/>
    <w:rsid w:val="00337327"/>
    <w:pPr>
      <w:numPr>
        <w:ilvl w:val="1"/>
      </w:numPr>
      <w:ind w:left="811" w:hanging="357"/>
    </w:pPr>
    <w:rPr>
      <w:shd w:val="clear" w:color="auto" w:fill="auto"/>
      <w:lang w:val="en-NZ"/>
    </w:rPr>
  </w:style>
  <w:style w:type="paragraph" w:customStyle="1" w:styleId="ReportBody-TeWhatuOra">
    <w:name w:val="Report Body - Te Whatu Ora"/>
    <w:basedOn w:val="Normal"/>
    <w:link w:val="ReportBody-TeWhatuOraChar"/>
    <w:autoRedefine/>
    <w:rsid w:val="0067272F"/>
    <w:pPr>
      <w:autoSpaceDE w:val="0"/>
      <w:autoSpaceDN w:val="0"/>
      <w:spacing w:line="360" w:lineRule="auto"/>
    </w:pPr>
    <w:rPr>
      <w:bCs/>
      <w:color w:val="15284C" w:themeColor="text1"/>
      <w:shd w:val="clear" w:color="auto" w:fill="FFFFFF"/>
      <w:lang w:val="en-NZ" w:eastAsia="en-NZ"/>
    </w:rPr>
  </w:style>
  <w:style w:type="paragraph" w:customStyle="1" w:styleId="TableHeading2">
    <w:name w:val="Table Heading 2"/>
    <w:basedOn w:val="Normal"/>
    <w:link w:val="TableHeading2Char"/>
    <w:uiPriority w:val="2"/>
    <w:rsid w:val="00C639EB"/>
    <w:pPr>
      <w:spacing w:before="60" w:after="60" w:line="240" w:lineRule="atLeast"/>
    </w:pPr>
    <w:rPr>
      <w:rFonts w:eastAsia="Times New Roman"/>
      <w:b/>
      <w:bCs/>
      <w:color w:val="15284C" w:themeColor="text1"/>
      <w:sz w:val="20"/>
      <w:szCs w:val="14"/>
      <w:lang w:val="en-GB" w:eastAsia="en-GB"/>
    </w:rPr>
  </w:style>
  <w:style w:type="paragraph" w:customStyle="1" w:styleId="TableText">
    <w:name w:val="Table Text"/>
    <w:link w:val="TableTextChar"/>
    <w:uiPriority w:val="2"/>
    <w:rsid w:val="00C639EB"/>
    <w:pPr>
      <w:autoSpaceDE w:val="0"/>
      <w:autoSpaceDN w:val="0"/>
      <w:adjustRightInd w:val="0"/>
      <w:spacing w:before="60" w:after="60" w:line="240" w:lineRule="atLeast"/>
    </w:pPr>
    <w:rPr>
      <w:rFonts w:ascii="Arial" w:eastAsia="Times New Roman" w:hAnsi="Arial" w:cs="GillSans"/>
      <w:sz w:val="20"/>
      <w:szCs w:val="18"/>
      <w:lang w:val="en-GB" w:eastAsia="en-AU"/>
    </w:rPr>
  </w:style>
  <w:style w:type="character" w:styleId="PlaceholderText">
    <w:name w:val="Placeholder Text"/>
    <w:basedOn w:val="DefaultParagraphFont"/>
    <w:uiPriority w:val="99"/>
    <w:semiHidden/>
    <w:rsid w:val="00C639EB"/>
  </w:style>
  <w:style w:type="paragraph" w:customStyle="1" w:styleId="TableBold">
    <w:name w:val="Table Bold"/>
    <w:basedOn w:val="Normal"/>
    <w:link w:val="TableBoldChar"/>
    <w:uiPriority w:val="2"/>
    <w:rsid w:val="0046219A"/>
    <w:pPr>
      <w:spacing w:before="60" w:after="60"/>
    </w:pPr>
    <w:rPr>
      <w:rFonts w:eastAsia="Times New Roman"/>
      <w:b/>
      <w:sz w:val="20"/>
      <w:szCs w:val="20"/>
      <w:lang w:val="en-NZ"/>
    </w:rPr>
  </w:style>
  <w:style w:type="character" w:customStyle="1" w:styleId="TableBoldChar">
    <w:name w:val="Table Bold Char"/>
    <w:basedOn w:val="DefaultParagraphFont"/>
    <w:link w:val="TableBold"/>
    <w:uiPriority w:val="2"/>
    <w:rsid w:val="0046219A"/>
    <w:rPr>
      <w:rFonts w:ascii="Arial" w:eastAsia="Times New Roman" w:hAnsi="Arial" w:cs="Arial"/>
      <w:b/>
      <w:sz w:val="20"/>
      <w:szCs w:val="20"/>
    </w:rPr>
  </w:style>
  <w:style w:type="character" w:customStyle="1" w:styleId="TableTextChar">
    <w:name w:val="Table Text Char"/>
    <w:basedOn w:val="DefaultParagraphFont"/>
    <w:link w:val="TableText"/>
    <w:uiPriority w:val="2"/>
    <w:rsid w:val="00C639EB"/>
    <w:rPr>
      <w:rFonts w:ascii="Arial" w:eastAsia="Times New Roman" w:hAnsi="Arial" w:cs="GillSans"/>
      <w:sz w:val="20"/>
      <w:szCs w:val="18"/>
      <w:lang w:val="en-GB" w:eastAsia="en-AU"/>
    </w:rPr>
  </w:style>
  <w:style w:type="character" w:customStyle="1" w:styleId="normaltextrun">
    <w:name w:val="normaltextrun"/>
    <w:basedOn w:val="DefaultParagraphFont"/>
    <w:rsid w:val="00C639EB"/>
  </w:style>
  <w:style w:type="table" w:styleId="PlainTable2">
    <w:name w:val="Plain Table 2"/>
    <w:basedOn w:val="TableNormal"/>
    <w:uiPriority w:val="42"/>
    <w:rsid w:val="00C558F3"/>
    <w:pPr>
      <w:spacing w:after="0" w:line="240" w:lineRule="auto"/>
    </w:pPr>
    <w:tblPr>
      <w:tblStyleRowBandSize w:val="1"/>
      <w:tblStyleColBandSize w:val="1"/>
      <w:tblBorders>
        <w:top w:val="single" w:sz="4" w:space="0" w:color="5C85D2" w:themeColor="text1" w:themeTint="80"/>
        <w:bottom w:val="single" w:sz="4" w:space="0" w:color="5C85D2" w:themeColor="text1" w:themeTint="80"/>
      </w:tblBorders>
    </w:tblPr>
    <w:tblStylePr w:type="firstRow">
      <w:rPr>
        <w:b/>
        <w:bCs/>
      </w:rPr>
      <w:tblPr/>
      <w:tcPr>
        <w:tcBorders>
          <w:bottom w:val="single" w:sz="4" w:space="0" w:color="5C85D2" w:themeColor="text1" w:themeTint="80"/>
        </w:tcBorders>
      </w:tcPr>
    </w:tblStylePr>
    <w:tblStylePr w:type="lastRow">
      <w:rPr>
        <w:b/>
        <w:bCs/>
      </w:rPr>
      <w:tblPr/>
      <w:tcPr>
        <w:tcBorders>
          <w:top w:val="single" w:sz="4" w:space="0" w:color="5C85D2" w:themeColor="text1" w:themeTint="80"/>
        </w:tcBorders>
      </w:tcPr>
    </w:tblStylePr>
    <w:tblStylePr w:type="firstCol">
      <w:rPr>
        <w:b/>
        <w:bCs/>
      </w:rPr>
    </w:tblStylePr>
    <w:tblStylePr w:type="lastCol">
      <w:rPr>
        <w:b/>
        <w:bCs/>
      </w:rPr>
    </w:tblStylePr>
    <w:tblStylePr w:type="band1Vert">
      <w:tblPr/>
      <w:tcPr>
        <w:tcBorders>
          <w:left w:val="single" w:sz="4" w:space="0" w:color="5C85D2" w:themeColor="text1" w:themeTint="80"/>
          <w:right w:val="single" w:sz="4" w:space="0" w:color="5C85D2" w:themeColor="text1" w:themeTint="80"/>
        </w:tcBorders>
      </w:tcPr>
    </w:tblStylePr>
    <w:tblStylePr w:type="band2Vert">
      <w:tblPr/>
      <w:tcPr>
        <w:tcBorders>
          <w:left w:val="single" w:sz="4" w:space="0" w:color="5C85D2" w:themeColor="text1" w:themeTint="80"/>
          <w:right w:val="single" w:sz="4" w:space="0" w:color="5C85D2" w:themeColor="text1" w:themeTint="80"/>
        </w:tcBorders>
      </w:tcPr>
    </w:tblStylePr>
    <w:tblStylePr w:type="band1Horz">
      <w:tblPr/>
      <w:tcPr>
        <w:tcBorders>
          <w:top w:val="single" w:sz="4" w:space="0" w:color="5C85D2" w:themeColor="text1" w:themeTint="80"/>
          <w:bottom w:val="single" w:sz="4" w:space="0" w:color="5C85D2" w:themeColor="text1" w:themeTint="80"/>
        </w:tcBorders>
      </w:tcPr>
    </w:tblStylePr>
  </w:style>
  <w:style w:type="table" w:styleId="GridTable1Light-Accent2">
    <w:name w:val="Grid Table 1 Light Accent 2"/>
    <w:basedOn w:val="TableNormal"/>
    <w:uiPriority w:val="46"/>
    <w:rsid w:val="00C558F3"/>
    <w:pPr>
      <w:spacing w:after="0" w:line="240" w:lineRule="auto"/>
    </w:pPr>
    <w:tblPr>
      <w:tblStyleRowBandSize w:val="1"/>
      <w:tblStyleColBandSize w:val="1"/>
      <w:tblBorders>
        <w:top w:val="single" w:sz="4" w:space="0" w:color="709FFF" w:themeColor="accent2" w:themeTint="66"/>
        <w:left w:val="single" w:sz="4" w:space="0" w:color="709FFF" w:themeColor="accent2" w:themeTint="66"/>
        <w:bottom w:val="single" w:sz="4" w:space="0" w:color="709FFF" w:themeColor="accent2" w:themeTint="66"/>
        <w:right w:val="single" w:sz="4" w:space="0" w:color="709FFF" w:themeColor="accent2" w:themeTint="66"/>
        <w:insideH w:val="single" w:sz="4" w:space="0" w:color="709FFF" w:themeColor="accent2" w:themeTint="66"/>
        <w:insideV w:val="single" w:sz="4" w:space="0" w:color="709FFF" w:themeColor="accent2" w:themeTint="66"/>
      </w:tblBorders>
    </w:tblPr>
    <w:tblStylePr w:type="firstRow">
      <w:rPr>
        <w:b/>
        <w:bCs/>
      </w:rPr>
      <w:tblPr/>
      <w:tcPr>
        <w:tcBorders>
          <w:bottom w:val="single" w:sz="12" w:space="0" w:color="2870FF" w:themeColor="accent2" w:themeTint="99"/>
        </w:tcBorders>
      </w:tcPr>
    </w:tblStylePr>
    <w:tblStylePr w:type="lastRow">
      <w:rPr>
        <w:b/>
        <w:bCs/>
      </w:rPr>
      <w:tblPr/>
      <w:tcPr>
        <w:tcBorders>
          <w:top w:val="double" w:sz="2" w:space="0" w:color="2870FF" w:themeColor="accent2" w:themeTint="99"/>
        </w:tcBorders>
      </w:tcPr>
    </w:tblStylePr>
    <w:tblStylePr w:type="firstCol">
      <w:rPr>
        <w:b/>
        <w:bCs/>
      </w:rPr>
    </w:tblStylePr>
    <w:tblStylePr w:type="lastCol">
      <w:rPr>
        <w:b/>
        <w:bCs/>
      </w:rPr>
    </w:tblStylePr>
  </w:style>
  <w:style w:type="table" w:styleId="GridTable4">
    <w:name w:val="Grid Table 4"/>
    <w:basedOn w:val="TableNormal"/>
    <w:uiPriority w:val="49"/>
    <w:rsid w:val="00A25298"/>
    <w:pPr>
      <w:spacing w:after="0" w:line="240" w:lineRule="auto"/>
    </w:pPr>
    <w:tblPr>
      <w:tblStyleRowBandSize w:val="1"/>
      <w:tblStyleColBandSize w:val="1"/>
      <w:tblBorders>
        <w:top w:val="single" w:sz="4" w:space="0" w:color="3C6DC9" w:themeColor="text1" w:themeTint="99"/>
        <w:left w:val="single" w:sz="4" w:space="0" w:color="3C6DC9" w:themeColor="text1" w:themeTint="99"/>
        <w:bottom w:val="single" w:sz="4" w:space="0" w:color="3C6DC9" w:themeColor="text1" w:themeTint="99"/>
        <w:right w:val="single" w:sz="4" w:space="0" w:color="3C6DC9" w:themeColor="text1" w:themeTint="99"/>
        <w:insideH w:val="single" w:sz="4" w:space="0" w:color="3C6DC9" w:themeColor="text1" w:themeTint="99"/>
        <w:insideV w:val="single" w:sz="4" w:space="0" w:color="3C6DC9" w:themeColor="text1" w:themeTint="99"/>
      </w:tblBorders>
    </w:tblPr>
    <w:tblStylePr w:type="firstRow">
      <w:rPr>
        <w:b/>
        <w:bCs/>
        <w:color w:val="F6F4EC" w:themeColor="background1"/>
      </w:rPr>
      <w:tblPr/>
      <w:tcPr>
        <w:tcBorders>
          <w:top w:val="single" w:sz="4" w:space="0" w:color="15284C" w:themeColor="text1"/>
          <w:left w:val="single" w:sz="4" w:space="0" w:color="15284C" w:themeColor="text1"/>
          <w:bottom w:val="single" w:sz="4" w:space="0" w:color="15284C" w:themeColor="text1"/>
          <w:right w:val="single" w:sz="4" w:space="0" w:color="15284C" w:themeColor="text1"/>
          <w:insideH w:val="nil"/>
          <w:insideV w:val="nil"/>
        </w:tcBorders>
        <w:shd w:val="clear" w:color="auto" w:fill="15284C" w:themeFill="text1"/>
      </w:tcPr>
    </w:tblStylePr>
    <w:tblStylePr w:type="lastRow">
      <w:rPr>
        <w:b/>
        <w:bCs/>
      </w:rPr>
      <w:tblPr/>
      <w:tcPr>
        <w:tcBorders>
          <w:top w:val="double" w:sz="4" w:space="0" w:color="15284C" w:themeColor="text1"/>
        </w:tcBorders>
      </w:tcPr>
    </w:tblStylePr>
    <w:tblStylePr w:type="firstCol">
      <w:rPr>
        <w:b/>
        <w:bCs/>
      </w:rPr>
    </w:tblStylePr>
    <w:tblStylePr w:type="lastCol">
      <w:rPr>
        <w:b/>
        <w:bCs/>
      </w:rPr>
    </w:tblStylePr>
    <w:tblStylePr w:type="band1Vert">
      <w:tblPr/>
      <w:tcPr>
        <w:shd w:val="clear" w:color="auto" w:fill="BECEED" w:themeFill="text1" w:themeFillTint="33"/>
      </w:tcPr>
    </w:tblStylePr>
    <w:tblStylePr w:type="band1Horz">
      <w:tblPr/>
      <w:tcPr>
        <w:shd w:val="clear" w:color="auto" w:fill="BECEED" w:themeFill="text1" w:themeFillTint="33"/>
      </w:tcPr>
    </w:tblStylePr>
  </w:style>
  <w:style w:type="table" w:styleId="GridTable4-Accent5">
    <w:name w:val="Grid Table 4 Accent 5"/>
    <w:basedOn w:val="TableNormal"/>
    <w:uiPriority w:val="49"/>
    <w:rsid w:val="00A25298"/>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insideV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insideV w:val="nil"/>
        </w:tcBorders>
        <w:shd w:val="clear" w:color="auto" w:fill="15284C" w:themeFill="accent5"/>
      </w:tcPr>
    </w:tblStylePr>
    <w:tblStylePr w:type="lastRow">
      <w:rPr>
        <w:b/>
        <w:bCs/>
      </w:rPr>
      <w:tblPr/>
      <w:tcPr>
        <w:tcBorders>
          <w:top w:val="double" w:sz="4" w:space="0" w:color="15284C" w:themeColor="accent5"/>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paragraph" w:customStyle="1" w:styleId="Bold">
    <w:name w:val="Bold"/>
    <w:basedOn w:val="TableHeading2"/>
    <w:link w:val="BoldChar"/>
    <w:rsid w:val="00F03012"/>
    <w:rPr>
      <w:rFonts w:eastAsia="Roboto"/>
      <w:color w:val="auto"/>
    </w:rPr>
  </w:style>
  <w:style w:type="character" w:customStyle="1" w:styleId="TableHeading2Char">
    <w:name w:val="Table Heading 2 Char"/>
    <w:basedOn w:val="DefaultParagraphFont"/>
    <w:link w:val="TableHeading2"/>
    <w:uiPriority w:val="2"/>
    <w:rsid w:val="00F03012"/>
    <w:rPr>
      <w:rFonts w:ascii="Arial" w:eastAsia="Times New Roman" w:hAnsi="Arial" w:cs="Arial"/>
      <w:b/>
      <w:bCs/>
      <w:color w:val="15284C" w:themeColor="text1"/>
      <w:sz w:val="20"/>
      <w:szCs w:val="14"/>
      <w:lang w:val="en-GB" w:eastAsia="en-GB"/>
    </w:rPr>
  </w:style>
  <w:style w:type="character" w:customStyle="1" w:styleId="BoldChar">
    <w:name w:val="Bold Char"/>
    <w:basedOn w:val="TableHeading2Char"/>
    <w:link w:val="Bold"/>
    <w:rsid w:val="00F03012"/>
    <w:rPr>
      <w:rFonts w:ascii="Arial" w:eastAsia="Roboto" w:hAnsi="Arial" w:cs="Arial"/>
      <w:b/>
      <w:bCs/>
      <w:color w:val="15284C" w:themeColor="text1"/>
      <w:sz w:val="20"/>
      <w:szCs w:val="14"/>
      <w:lang w:val="en-GB" w:eastAsia="en-GB"/>
    </w:rPr>
  </w:style>
  <w:style w:type="paragraph" w:customStyle="1" w:styleId="Bold11pt">
    <w:name w:val="Bold 11pt"/>
    <w:basedOn w:val="Bold"/>
    <w:link w:val="Bold11ptChar"/>
    <w:rsid w:val="00EC5AC0"/>
    <w:rPr>
      <w:sz w:val="22"/>
      <w:szCs w:val="22"/>
    </w:rPr>
  </w:style>
  <w:style w:type="character" w:customStyle="1" w:styleId="Bold11ptChar">
    <w:name w:val="Bold 11pt Char"/>
    <w:basedOn w:val="BoldChar"/>
    <w:link w:val="Bold11pt"/>
    <w:rsid w:val="00EC5AC0"/>
    <w:rPr>
      <w:rFonts w:ascii="Arial" w:eastAsia="Roboto" w:hAnsi="Arial" w:cs="Arial"/>
      <w:b/>
      <w:bCs/>
      <w:color w:val="15284C" w:themeColor="text1"/>
      <w:sz w:val="20"/>
      <w:szCs w:val="14"/>
      <w:lang w:val="en-GB" w:eastAsia="en-GB"/>
    </w:rPr>
  </w:style>
  <w:style w:type="paragraph" w:customStyle="1" w:styleId="Bulletpoints">
    <w:name w:val="Bullet points"/>
    <w:basedOn w:val="ListParagraph"/>
    <w:link w:val="BulletpointsChar"/>
    <w:rsid w:val="0067272F"/>
    <w:pPr>
      <w:numPr>
        <w:numId w:val="2"/>
      </w:numPr>
      <w:spacing w:line="259" w:lineRule="auto"/>
      <w:ind w:left="357" w:hanging="357"/>
      <w:contextualSpacing w:val="0"/>
    </w:pPr>
    <w:rPr>
      <w:shd w:val="clear" w:color="auto" w:fill="FFFFFF"/>
    </w:rPr>
  </w:style>
  <w:style w:type="character" w:customStyle="1" w:styleId="ListParagraphChar">
    <w:name w:val="List Paragraph Char"/>
    <w:aliases w:val="Bullets Char,Level 3 Char,List Paragraph1 Char,List Paragraph numbered Char,List Bullet indent Char,Body Char,Recommendation Char,List Paragraph11 Char,TOC style Char,lp1 Char,Bullet OSM Char,Proposal Bullet List Char,Rec para Char"/>
    <w:basedOn w:val="DefaultParagraphFont"/>
    <w:link w:val="ListParagraph"/>
    <w:uiPriority w:val="34"/>
    <w:qFormat/>
    <w:rsid w:val="001D3387"/>
    <w:rPr>
      <w:rFonts w:ascii="Arial" w:eastAsia="Roboto" w:hAnsi="Arial" w:cs="Arial"/>
      <w:lang w:val="en-US"/>
    </w:rPr>
  </w:style>
  <w:style w:type="character" w:customStyle="1" w:styleId="BulletpointsChar">
    <w:name w:val="Bullet points Char"/>
    <w:basedOn w:val="ListParagraphChar"/>
    <w:link w:val="Bulletpoints"/>
    <w:rsid w:val="0067272F"/>
    <w:rPr>
      <w:rFonts w:ascii="Arial" w:eastAsia="Roboto" w:hAnsi="Arial" w:cs="Arial"/>
      <w:lang w:val="en-US"/>
    </w:rPr>
  </w:style>
  <w:style w:type="paragraph" w:customStyle="1" w:styleId="Footerbody">
    <w:name w:val="Footer body"/>
    <w:basedOn w:val="Normal"/>
    <w:link w:val="FooterbodyChar"/>
    <w:qFormat/>
    <w:rsid w:val="001D3387"/>
    <w:rPr>
      <w:sz w:val="18"/>
      <w:szCs w:val="18"/>
    </w:rPr>
  </w:style>
  <w:style w:type="character" w:customStyle="1" w:styleId="FooterbodyChar">
    <w:name w:val="Footer body Char"/>
    <w:basedOn w:val="DefaultParagraphFont"/>
    <w:link w:val="Footerbody"/>
    <w:rsid w:val="001D3387"/>
    <w:rPr>
      <w:rFonts w:ascii="Arial" w:eastAsia="Roboto" w:hAnsi="Arial" w:cs="Arial"/>
      <w:sz w:val="18"/>
      <w:szCs w:val="18"/>
      <w:lang w:val="en-US"/>
    </w:rPr>
  </w:style>
  <w:style w:type="paragraph" w:customStyle="1" w:styleId="Numberedbullets">
    <w:name w:val="Numbered bullets"/>
    <w:basedOn w:val="Normal"/>
    <w:link w:val="NumberedbulletsChar"/>
    <w:qFormat/>
    <w:rsid w:val="00337327"/>
    <w:pPr>
      <w:widowControl w:val="0"/>
      <w:numPr>
        <w:numId w:val="1"/>
      </w:numPr>
      <w:autoSpaceDE w:val="0"/>
      <w:autoSpaceDN w:val="0"/>
      <w:spacing w:line="259" w:lineRule="auto"/>
      <w:ind w:left="425" w:hanging="425"/>
    </w:pPr>
    <w:rPr>
      <w:rFonts w:eastAsia="Arial"/>
      <w:shd w:val="clear" w:color="auto" w:fill="FFFFFF"/>
    </w:rPr>
  </w:style>
  <w:style w:type="character" w:customStyle="1" w:styleId="NumberedbulletsChar">
    <w:name w:val="Numbered bullets Char"/>
    <w:basedOn w:val="DefaultParagraphFont"/>
    <w:link w:val="Numberedbullets"/>
    <w:rsid w:val="00337327"/>
    <w:rPr>
      <w:rFonts w:ascii="Arial" w:eastAsia="Arial" w:hAnsi="Arial" w:cs="Arial"/>
      <w:lang w:val="en-US"/>
    </w:rPr>
  </w:style>
  <w:style w:type="paragraph" w:customStyle="1" w:styleId="Heading30">
    <w:name w:val="Heading3"/>
    <w:basedOn w:val="Heading3"/>
    <w:link w:val="Heading3Char0"/>
    <w:rsid w:val="00C657FB"/>
    <w:rPr>
      <w:i/>
      <w:iCs/>
      <w:color w:val="auto"/>
      <w:sz w:val="22"/>
      <w:szCs w:val="22"/>
    </w:rPr>
  </w:style>
  <w:style w:type="character" w:customStyle="1" w:styleId="Heading3Char0">
    <w:name w:val="Heading3 Char"/>
    <w:basedOn w:val="Heading3Char"/>
    <w:link w:val="Heading30"/>
    <w:rsid w:val="00C657FB"/>
    <w:rPr>
      <w:rFonts w:ascii="Arial" w:eastAsia="Roboto" w:hAnsi="Arial" w:cs="Arial"/>
      <w:b/>
      <w:bCs/>
      <w:i/>
      <w:iCs/>
      <w:noProof/>
      <w:color w:val="15284C"/>
      <w:sz w:val="28"/>
      <w:szCs w:val="28"/>
      <w:lang w:val="en-US"/>
    </w:rPr>
  </w:style>
  <w:style w:type="character" w:customStyle="1" w:styleId="ReportBody-TeWhatuOraChar">
    <w:name w:val="Report Body - Te Whatu Ora Char"/>
    <w:basedOn w:val="DefaultParagraphFont"/>
    <w:link w:val="ReportBody-TeWhatuOra"/>
    <w:rsid w:val="0067272F"/>
    <w:rPr>
      <w:rFonts w:ascii="Arial" w:eastAsia="Roboto" w:hAnsi="Arial" w:cs="Arial"/>
      <w:bCs/>
      <w:color w:val="15284C" w:themeColor="text1"/>
      <w:lang w:eastAsia="en-NZ"/>
    </w:rPr>
  </w:style>
  <w:style w:type="paragraph" w:customStyle="1" w:styleId="TableParagraph">
    <w:name w:val="Table Paragraph"/>
    <w:basedOn w:val="Normal"/>
    <w:uiPriority w:val="1"/>
    <w:rsid w:val="00B73C43"/>
    <w:pPr>
      <w:widowControl w:val="0"/>
      <w:autoSpaceDE w:val="0"/>
      <w:autoSpaceDN w:val="0"/>
      <w:spacing w:after="0"/>
      <w:ind w:left="105"/>
    </w:pPr>
    <w:rPr>
      <w:rFonts w:eastAsia="Arial"/>
    </w:rPr>
  </w:style>
  <w:style w:type="paragraph" w:styleId="FootnoteText">
    <w:name w:val="footnote text"/>
    <w:basedOn w:val="Normal"/>
    <w:link w:val="FootnoteTextChar"/>
    <w:uiPriority w:val="99"/>
    <w:semiHidden/>
    <w:unhideWhenUsed/>
    <w:rsid w:val="00F724E3"/>
    <w:pPr>
      <w:widowControl w:val="0"/>
      <w:autoSpaceDE w:val="0"/>
      <w:autoSpaceDN w:val="0"/>
      <w:spacing w:after="0"/>
    </w:pPr>
    <w:rPr>
      <w:rFonts w:eastAsia="Arial"/>
      <w:sz w:val="20"/>
      <w:szCs w:val="20"/>
    </w:rPr>
  </w:style>
  <w:style w:type="character" w:customStyle="1" w:styleId="FootnoteTextChar">
    <w:name w:val="Footnote Text Char"/>
    <w:basedOn w:val="DefaultParagraphFont"/>
    <w:link w:val="FootnoteText"/>
    <w:uiPriority w:val="99"/>
    <w:semiHidden/>
    <w:rsid w:val="00F724E3"/>
    <w:rPr>
      <w:rFonts w:ascii="Arial" w:eastAsia="Arial" w:hAnsi="Arial" w:cs="Arial"/>
      <w:sz w:val="20"/>
      <w:szCs w:val="20"/>
      <w:lang w:val="en-US"/>
    </w:rPr>
  </w:style>
  <w:style w:type="character" w:styleId="FootnoteReference">
    <w:name w:val="footnote reference"/>
    <w:basedOn w:val="DefaultParagraphFont"/>
    <w:uiPriority w:val="99"/>
    <w:semiHidden/>
    <w:unhideWhenUsed/>
    <w:rsid w:val="00F724E3"/>
    <w:rPr>
      <w:vertAlign w:val="superscript"/>
    </w:rPr>
  </w:style>
  <w:style w:type="character" w:customStyle="1" w:styleId="eop">
    <w:name w:val="eop"/>
    <w:basedOn w:val="DefaultParagraphFont"/>
    <w:rsid w:val="009F4132"/>
  </w:style>
  <w:style w:type="paragraph" w:customStyle="1" w:styleId="paragraph">
    <w:name w:val="paragraph"/>
    <w:basedOn w:val="Normal"/>
    <w:rsid w:val="0046219A"/>
    <w:pPr>
      <w:spacing w:line="259" w:lineRule="auto"/>
    </w:pPr>
  </w:style>
  <w:style w:type="character" w:styleId="CommentReference">
    <w:name w:val="annotation reference"/>
    <w:basedOn w:val="DefaultParagraphFont"/>
    <w:uiPriority w:val="99"/>
    <w:semiHidden/>
    <w:unhideWhenUsed/>
    <w:rsid w:val="004B3401"/>
    <w:rPr>
      <w:sz w:val="16"/>
      <w:szCs w:val="16"/>
    </w:rPr>
  </w:style>
  <w:style w:type="paragraph" w:styleId="CommentText">
    <w:name w:val="annotation text"/>
    <w:basedOn w:val="Normal"/>
    <w:link w:val="CommentTextChar"/>
    <w:uiPriority w:val="99"/>
    <w:unhideWhenUsed/>
    <w:rsid w:val="004B3401"/>
    <w:rPr>
      <w:sz w:val="20"/>
      <w:szCs w:val="20"/>
    </w:rPr>
  </w:style>
  <w:style w:type="character" w:customStyle="1" w:styleId="CommentTextChar">
    <w:name w:val="Comment Text Char"/>
    <w:basedOn w:val="DefaultParagraphFont"/>
    <w:link w:val="CommentText"/>
    <w:uiPriority w:val="99"/>
    <w:rsid w:val="004B3401"/>
    <w:rPr>
      <w:rFonts w:ascii="Arial" w:eastAsia="Roboto"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4B3401"/>
    <w:rPr>
      <w:b/>
      <w:bCs/>
    </w:rPr>
  </w:style>
  <w:style w:type="character" w:customStyle="1" w:styleId="CommentSubjectChar">
    <w:name w:val="Comment Subject Char"/>
    <w:basedOn w:val="CommentTextChar"/>
    <w:link w:val="CommentSubject"/>
    <w:uiPriority w:val="99"/>
    <w:semiHidden/>
    <w:rsid w:val="004B3401"/>
    <w:rPr>
      <w:rFonts w:ascii="Arial" w:eastAsia="Roboto" w:hAnsi="Arial" w:cs="Arial"/>
      <w:b/>
      <w:bCs/>
      <w:sz w:val="20"/>
      <w:szCs w:val="20"/>
      <w:lang w:val="en-US"/>
    </w:rPr>
  </w:style>
  <w:style w:type="paragraph" w:styleId="Title">
    <w:name w:val="Title"/>
    <w:basedOn w:val="Heading1"/>
    <w:next w:val="Normal"/>
    <w:link w:val="TitleChar"/>
    <w:uiPriority w:val="10"/>
    <w:rsid w:val="0046219A"/>
    <w:pPr>
      <w:spacing w:before="240"/>
    </w:pPr>
    <w:rPr>
      <w:color w:val="auto"/>
      <w:sz w:val="24"/>
      <w:szCs w:val="24"/>
    </w:rPr>
  </w:style>
  <w:style w:type="character" w:customStyle="1" w:styleId="TitleChar">
    <w:name w:val="Title Char"/>
    <w:basedOn w:val="DefaultParagraphFont"/>
    <w:link w:val="Title"/>
    <w:uiPriority w:val="10"/>
    <w:rsid w:val="0046219A"/>
    <w:rPr>
      <w:rFonts w:ascii="Arial" w:eastAsiaTheme="majorEastAsia" w:hAnsi="Arial" w:cs="Arial"/>
      <w:b/>
      <w:bCs/>
      <w:noProof/>
      <w:sz w:val="24"/>
      <w:szCs w:val="24"/>
    </w:rPr>
  </w:style>
  <w:style w:type="character" w:customStyle="1" w:styleId="Heading4Char">
    <w:name w:val="Heading 4 Char"/>
    <w:basedOn w:val="DefaultParagraphFont"/>
    <w:link w:val="Heading4"/>
    <w:uiPriority w:val="9"/>
    <w:rsid w:val="0046219A"/>
    <w:rPr>
      <w:rFonts w:ascii="Arial" w:eastAsiaTheme="majorEastAsia" w:hAnsi="Arial" w:cs="Arial"/>
      <w:b/>
      <w:bCs/>
      <w:noProof/>
      <w:sz w:val="24"/>
      <w:szCs w:val="24"/>
    </w:rPr>
  </w:style>
  <w:style w:type="paragraph" w:customStyle="1" w:styleId="Bulletpoints2">
    <w:name w:val="Bullet points 2"/>
    <w:basedOn w:val="Bulletpoints"/>
    <w:link w:val="Bulletpoints2Char"/>
    <w:qFormat/>
    <w:rsid w:val="00155CA1"/>
    <w:pPr>
      <w:numPr>
        <w:numId w:val="3"/>
      </w:numPr>
      <w:ind w:left="357" w:hanging="357"/>
    </w:pPr>
  </w:style>
  <w:style w:type="character" w:customStyle="1" w:styleId="Bulletpoints2Char">
    <w:name w:val="Bullet points 2 Char"/>
    <w:basedOn w:val="BulletpointsChar"/>
    <w:link w:val="Bulletpoints2"/>
    <w:rsid w:val="00155CA1"/>
    <w:rPr>
      <w:rFonts w:ascii="Arial" w:eastAsia="Roboto" w:hAnsi="Arial" w:cs="Arial"/>
      <w:lang w:val="en-US"/>
    </w:rPr>
  </w:style>
  <w:style w:type="paragraph" w:customStyle="1" w:styleId="TableBullet">
    <w:name w:val="TableBullet"/>
    <w:basedOn w:val="Normal"/>
    <w:qFormat/>
    <w:rsid w:val="00101B7B"/>
    <w:pPr>
      <w:numPr>
        <w:numId w:val="5"/>
      </w:numPr>
      <w:spacing w:after="60"/>
    </w:pPr>
    <w:rPr>
      <w:rFonts w:ascii="Segoe UI" w:eastAsia="Times New Roman" w:hAnsi="Segoe UI" w:cs="Times New Roman"/>
      <w:sz w:val="18"/>
      <w:szCs w:val="20"/>
      <w:lang w:val="en-NZ" w:eastAsia="en-GB"/>
    </w:rPr>
  </w:style>
  <w:style w:type="character" w:styleId="UnresolvedMention">
    <w:name w:val="Unresolved Mention"/>
    <w:basedOn w:val="DefaultParagraphFont"/>
    <w:uiPriority w:val="99"/>
    <w:semiHidden/>
    <w:unhideWhenUsed/>
    <w:rsid w:val="00D81976"/>
    <w:rPr>
      <w:color w:val="605E5C"/>
      <w:shd w:val="clear" w:color="auto" w:fill="E1DFDD"/>
    </w:rPr>
  </w:style>
  <w:style w:type="paragraph" w:styleId="Revision">
    <w:name w:val="Revision"/>
    <w:hidden/>
    <w:uiPriority w:val="99"/>
    <w:semiHidden/>
    <w:rsid w:val="00D04370"/>
    <w:pPr>
      <w:spacing w:after="0" w:line="240" w:lineRule="auto"/>
    </w:pPr>
    <w:rPr>
      <w:rFonts w:ascii="Arial" w:eastAsia="Roboto" w:hAnsi="Arial" w:cs="Arial"/>
      <w:lang w:val="en-US"/>
    </w:rPr>
  </w:style>
  <w:style w:type="paragraph" w:styleId="EndnoteText">
    <w:name w:val="endnote text"/>
    <w:basedOn w:val="Normal"/>
    <w:link w:val="EndnoteTextChar"/>
    <w:uiPriority w:val="99"/>
    <w:semiHidden/>
    <w:unhideWhenUsed/>
    <w:rsid w:val="00E85FF2"/>
    <w:pPr>
      <w:spacing w:after="0"/>
    </w:pPr>
    <w:rPr>
      <w:sz w:val="20"/>
      <w:szCs w:val="20"/>
    </w:rPr>
  </w:style>
  <w:style w:type="character" w:customStyle="1" w:styleId="EndnoteTextChar">
    <w:name w:val="Endnote Text Char"/>
    <w:basedOn w:val="DefaultParagraphFont"/>
    <w:link w:val="EndnoteText"/>
    <w:uiPriority w:val="99"/>
    <w:semiHidden/>
    <w:rsid w:val="00E85FF2"/>
    <w:rPr>
      <w:rFonts w:ascii="Arial" w:eastAsia="Roboto" w:hAnsi="Arial" w:cs="Arial"/>
      <w:sz w:val="20"/>
      <w:szCs w:val="20"/>
      <w:lang w:val="en-US"/>
    </w:rPr>
  </w:style>
  <w:style w:type="character" w:styleId="EndnoteReference">
    <w:name w:val="endnote reference"/>
    <w:basedOn w:val="DefaultParagraphFont"/>
    <w:uiPriority w:val="99"/>
    <w:semiHidden/>
    <w:unhideWhenUsed/>
    <w:rsid w:val="00E85FF2"/>
    <w:rPr>
      <w:vertAlign w:val="superscript"/>
    </w:rPr>
  </w:style>
  <w:style w:type="character" w:styleId="FollowedHyperlink">
    <w:name w:val="FollowedHyperlink"/>
    <w:basedOn w:val="DefaultParagraphFont"/>
    <w:uiPriority w:val="99"/>
    <w:semiHidden/>
    <w:unhideWhenUsed/>
    <w:rsid w:val="00C62A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766722">
      <w:bodyDiv w:val="1"/>
      <w:marLeft w:val="0"/>
      <w:marRight w:val="0"/>
      <w:marTop w:val="0"/>
      <w:marBottom w:val="0"/>
      <w:divBdr>
        <w:top w:val="none" w:sz="0" w:space="0" w:color="auto"/>
        <w:left w:val="none" w:sz="0" w:space="0" w:color="auto"/>
        <w:bottom w:val="none" w:sz="0" w:space="0" w:color="auto"/>
        <w:right w:val="none" w:sz="0" w:space="0" w:color="auto"/>
      </w:divBdr>
      <w:divsChild>
        <w:div w:id="2128037228">
          <w:marLeft w:val="432"/>
          <w:marRight w:val="432"/>
          <w:marTop w:val="150"/>
          <w:marBottom w:val="150"/>
          <w:divBdr>
            <w:top w:val="none" w:sz="0" w:space="0" w:color="auto"/>
            <w:left w:val="none" w:sz="0" w:space="0" w:color="auto"/>
            <w:bottom w:val="none" w:sz="0" w:space="0" w:color="auto"/>
            <w:right w:val="none" w:sz="0" w:space="0" w:color="auto"/>
          </w:divBdr>
        </w:div>
      </w:divsChild>
    </w:div>
    <w:div w:id="211918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whatuora.govt.nz/for-health-professionals/covid-19/case-definition-and-clinical-testing-guidelines-for-covid-19/" TargetMode="External"/><Relationship Id="rId18" Type="http://schemas.openxmlformats.org/officeDocument/2006/relationships/hyperlink" Target="https://my.health.nz/rat-reporter" TargetMode="External"/><Relationship Id="rId3" Type="http://schemas.openxmlformats.org/officeDocument/2006/relationships/customXml" Target="../customXml/item3.xml"/><Relationship Id="rId21" Type="http://schemas.openxmlformats.org/officeDocument/2006/relationships/hyperlink" Target="https://covid19.govt.nz/covid-19-vaccines/" TargetMode="External"/><Relationship Id="rId7" Type="http://schemas.openxmlformats.org/officeDocument/2006/relationships/settings" Target="settings.xml"/><Relationship Id="rId12" Type="http://schemas.openxmlformats.org/officeDocument/2006/relationships/hyperlink" Target="https://www.cdc.gov/coronavirus/2019-ncov/hcp/guidance-risk-assesment-hcp.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tewhatuora.govt.nz/for-the-health-sector/covid-19-information-for-health-professionals/covid-19-information-for-all-health-professionals/covid-19-infection-prevention-and-control-recommendations-for-health-and-disability-care-work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c.health.nsw.gov.au/__data/assets/pdf_file/0010/725626/covid-19-managing-health-worker-exposures-and-return-to-work-in-a-healthcare-setting.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Randle\OneDrive%20-%20Health%20New%20Zealand\Documents\Other%20Comm%20disease\ARI\Guidance-for-return-to-work-of-healthcare-worker%20July%202024.dotx" TargetMode="External"/></Relationships>
</file>

<file path=word/theme/theme1.xml><?xml version="1.0" encoding="utf-8"?>
<a:theme xmlns:a="http://schemas.openxmlformats.org/drawingml/2006/main" name="Office Theme">
  <a:themeElements>
    <a:clrScheme name="Custom 2">
      <a:dk1>
        <a:srgbClr val="15284C"/>
      </a:dk1>
      <a:lt1>
        <a:srgbClr val="F6F4EC"/>
      </a:lt1>
      <a:dk2>
        <a:srgbClr val="15284C"/>
      </a:dk2>
      <a:lt2>
        <a:srgbClr val="30A1AC"/>
      </a:lt2>
      <a:accent1>
        <a:srgbClr val="4D2379"/>
      </a:accent1>
      <a:accent2>
        <a:srgbClr val="003399"/>
      </a:accent2>
      <a:accent3>
        <a:srgbClr val="0C818F"/>
      </a:accent3>
      <a:accent4>
        <a:srgbClr val="FFFFFF"/>
      </a:accent4>
      <a:accent5>
        <a:srgbClr val="15284C"/>
      </a:accent5>
      <a:accent6>
        <a:srgbClr val="FFFFFF"/>
      </a:accent6>
      <a:hlink>
        <a:srgbClr val="2B529C"/>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f6511b-9ebb-4b03-af0b-ba709315d90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5A8CA52214084C802546C9AC76536A" ma:contentTypeVersion="12" ma:contentTypeDescription="Create a new document." ma:contentTypeScope="" ma:versionID="64a9230817181d3c6016c99a0b5ae794">
  <xsd:schema xmlns:xsd="http://www.w3.org/2001/XMLSchema" xmlns:xs="http://www.w3.org/2001/XMLSchema" xmlns:p="http://schemas.microsoft.com/office/2006/metadata/properties" xmlns:ns2="d1f6511b-9ebb-4b03-af0b-ba709315d90f" xmlns:ns3="05b4b1c7-4082-4682-bf78-9312cf0ac3e8" targetNamespace="http://schemas.microsoft.com/office/2006/metadata/properties" ma:root="true" ma:fieldsID="97f2edb91bdfab8169e5fcbb7b525d98" ns2:_="" ns3:_="">
    <xsd:import namespace="d1f6511b-9ebb-4b03-af0b-ba709315d90f"/>
    <xsd:import namespace="05b4b1c7-4082-4682-bf78-9312cf0ac3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6511b-9ebb-4b03-af0b-ba709315d9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f29b3f-1e51-457b-ae0c-362182e5807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b4b1c7-4082-4682-bf78-9312cf0ac3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E537BE-8D0D-4556-A951-44726A946D57}">
  <ds:schemaRefs>
    <ds:schemaRef ds:uri="http://schemas.microsoft.com/office/2006/metadata/properties"/>
    <ds:schemaRef ds:uri="http://schemas.microsoft.com/office/infopath/2007/PartnerControls"/>
    <ds:schemaRef ds:uri="d1f6511b-9ebb-4b03-af0b-ba709315d90f"/>
  </ds:schemaRefs>
</ds:datastoreItem>
</file>

<file path=customXml/itemProps2.xml><?xml version="1.0" encoding="utf-8"?>
<ds:datastoreItem xmlns:ds="http://schemas.openxmlformats.org/officeDocument/2006/customXml" ds:itemID="{FA979E5D-3A3E-4237-84E8-E357ACFD55E3}">
  <ds:schemaRefs>
    <ds:schemaRef ds:uri="http://schemas.openxmlformats.org/officeDocument/2006/bibliography"/>
  </ds:schemaRefs>
</ds:datastoreItem>
</file>

<file path=customXml/itemProps3.xml><?xml version="1.0" encoding="utf-8"?>
<ds:datastoreItem xmlns:ds="http://schemas.openxmlformats.org/officeDocument/2006/customXml" ds:itemID="{105CD412-EC01-477E-8564-2D9F8426A86B}">
  <ds:schemaRefs>
    <ds:schemaRef ds:uri="http://schemas.microsoft.com/sharepoint/v3/contenttype/forms"/>
  </ds:schemaRefs>
</ds:datastoreItem>
</file>

<file path=customXml/itemProps4.xml><?xml version="1.0" encoding="utf-8"?>
<ds:datastoreItem xmlns:ds="http://schemas.openxmlformats.org/officeDocument/2006/customXml" ds:itemID="{6EB8D6B6-5FB0-453B-A100-C5734F22A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6511b-9ebb-4b03-af0b-ba709315d90f"/>
    <ds:schemaRef ds:uri="05b4b1c7-4082-4682-bf78-9312cf0ac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Guidance-for-return-to-work-of-healthcare-worker July 2024</Template>
  <TotalTime>2</TotalTime>
  <Pages>6</Pages>
  <Words>1710</Words>
  <Characters>9749</Characters>
  <Application>Microsoft Office Word</Application>
  <DocSecurity>0</DocSecurity>
  <Lines>81</Lines>
  <Paragraphs>22</Paragraphs>
  <ScaleCrop>false</ScaleCrop>
  <Company>Ministry of Health</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Randle</dc:creator>
  <cp:keywords/>
  <dc:description/>
  <cp:lastModifiedBy>Janet Bache</cp:lastModifiedBy>
  <cp:revision>3</cp:revision>
  <cp:lastPrinted>2024-07-24T01:08:00Z</cp:lastPrinted>
  <dcterms:created xsi:type="dcterms:W3CDTF">2024-07-23T23:54:00Z</dcterms:created>
  <dcterms:modified xsi:type="dcterms:W3CDTF">2024-07-24T01:08:00Z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0x010100F15A8CA52214084C802546C9AC76536A</vt:lpwstr>
  </property>
  <property fmtid="{D5CDD505-2E9C-101B-9397-08002B2CF9AE}" pid="3" name="_dlc_DocIdItemGuid">
    <vt:lpwstr>ee7301dc-fe74-422e-959a-b9171dbb8cc1</vt:lpwstr>
  </property>
  <property fmtid="{D5CDD505-2E9C-101B-9397-08002B2CF9AE}" pid="4" name="MediaServiceImageTags">
    <vt:lpwstr/>
  </property>
</Properties>
</file>