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A5D02" w14:paraId="69D8EFC9" w14:textId="77777777" w:rsidTr="00EA5D02">
        <w:tc>
          <w:tcPr>
            <w:tcW w:w="9242" w:type="dxa"/>
          </w:tcPr>
          <w:p w14:paraId="69D8EFC7" w14:textId="77777777" w:rsidR="00EA5D02" w:rsidRPr="00B608AE" w:rsidRDefault="00EA5D02" w:rsidP="00B608AE">
            <w:pPr>
              <w:pStyle w:val="Heading1"/>
              <w:outlineLvl w:val="0"/>
            </w:pPr>
            <w:r w:rsidRPr="00B608AE">
              <w:t xml:space="preserve">Live Donor Renal Transplantation Cross Matches in 2016 in New Zealand and their Outcomes to Transplantation </w:t>
            </w:r>
          </w:p>
          <w:p w14:paraId="69D8EFC8" w14:textId="77777777" w:rsidR="00EA5D02" w:rsidRPr="00065C35" w:rsidRDefault="00EA5D02">
            <w:pPr>
              <w:rPr>
                <w:b/>
              </w:rPr>
            </w:pPr>
          </w:p>
        </w:tc>
      </w:tr>
      <w:tr w:rsidR="00564FFC" w14:paraId="69D8EFCB" w14:textId="77777777" w:rsidTr="00EA5D02">
        <w:tc>
          <w:tcPr>
            <w:tcW w:w="9242" w:type="dxa"/>
          </w:tcPr>
          <w:p w14:paraId="69D8EFCA" w14:textId="77777777" w:rsidR="00564FFC" w:rsidRPr="00EA5D02" w:rsidRDefault="00564FFC">
            <w:pPr>
              <w:rPr>
                <w:b/>
                <w:sz w:val="36"/>
                <w:szCs w:val="36"/>
              </w:rPr>
            </w:pPr>
            <w:r w:rsidRPr="00564FFC">
              <w:t>Author</w:t>
            </w:r>
            <w:r w:rsidR="00395870">
              <w:t>:</w:t>
            </w:r>
            <w:r>
              <w:t xml:space="preserve"> Theo </w:t>
            </w:r>
            <w:proofErr w:type="spellStart"/>
            <w:r>
              <w:t>Yiu</w:t>
            </w:r>
            <w:proofErr w:type="spellEnd"/>
            <w:r w:rsidR="00A5278D">
              <w:t>, Dept. Renal Medicine, Auckland DHB</w:t>
            </w:r>
          </w:p>
        </w:tc>
      </w:tr>
      <w:tr w:rsidR="00564FFC" w14:paraId="69D8EFCD" w14:textId="77777777" w:rsidTr="00EA5D02">
        <w:tc>
          <w:tcPr>
            <w:tcW w:w="9242" w:type="dxa"/>
          </w:tcPr>
          <w:p w14:paraId="69D8EFCC" w14:textId="77777777" w:rsidR="00564FFC" w:rsidRPr="00564FFC" w:rsidRDefault="00564FFC"/>
        </w:tc>
      </w:tr>
      <w:tr w:rsidR="00EA5D02" w14:paraId="69D8EFCF" w14:textId="77777777" w:rsidTr="00EA5D02">
        <w:tc>
          <w:tcPr>
            <w:tcW w:w="9242" w:type="dxa"/>
          </w:tcPr>
          <w:p w14:paraId="69D8EFCE" w14:textId="77777777" w:rsidR="00065C35" w:rsidRPr="00B608AE" w:rsidRDefault="00EA5D02" w:rsidP="00B608AE">
            <w:pPr>
              <w:pStyle w:val="Heading2"/>
              <w:outlineLvl w:val="1"/>
            </w:pPr>
            <w:r w:rsidRPr="00B608AE">
              <w:t>A</w:t>
            </w:r>
            <w:bookmarkStart w:id="0" w:name="_GoBack"/>
            <w:bookmarkEnd w:id="0"/>
            <w:r w:rsidRPr="00B608AE">
              <w:t>bstract</w:t>
            </w:r>
          </w:p>
        </w:tc>
      </w:tr>
      <w:tr w:rsidR="00EA5D02" w14:paraId="69D8EFD1" w14:textId="77777777" w:rsidTr="00EA5D02">
        <w:tc>
          <w:tcPr>
            <w:tcW w:w="9242" w:type="dxa"/>
          </w:tcPr>
          <w:p w14:paraId="69D8EFD0" w14:textId="77777777" w:rsidR="00EA5D02" w:rsidRPr="00B608AE" w:rsidRDefault="00EA5D02" w:rsidP="00B608AE">
            <w:pPr>
              <w:pStyle w:val="Heading3"/>
              <w:outlineLvl w:val="2"/>
            </w:pPr>
            <w:r w:rsidRPr="00B608AE">
              <w:t>Objective</w:t>
            </w:r>
          </w:p>
        </w:tc>
      </w:tr>
      <w:tr w:rsidR="00EA5D02" w14:paraId="69D8EFD4" w14:textId="77777777" w:rsidTr="00EA5D02">
        <w:tc>
          <w:tcPr>
            <w:tcW w:w="9242" w:type="dxa"/>
          </w:tcPr>
          <w:p w14:paraId="69D8EFD2" w14:textId="77777777" w:rsidR="00EA5D02" w:rsidRDefault="00EA5D02" w:rsidP="00EA5D02">
            <w:pPr>
              <w:spacing w:line="276" w:lineRule="auto"/>
              <w:rPr>
                <w:rFonts w:ascii="Calibri" w:hAnsi="Calibri"/>
              </w:rPr>
            </w:pPr>
            <w:r>
              <w:t xml:space="preserve">Tissue cross match is an important part of live donor kidney transplant (LDKT) work up and is a costly resource with significant wait times. The aim of this study was to review the cross matches performed for the purpose </w:t>
            </w:r>
            <w:r>
              <w:rPr>
                <w:rFonts w:ascii="Calibri" w:hAnsi="Calibri"/>
              </w:rPr>
              <w:t xml:space="preserve">of live kidney donation in the year 2016 in New Zealand and the outcomes of these donor and recipient pairs. </w:t>
            </w:r>
          </w:p>
          <w:p w14:paraId="69D8EFD3" w14:textId="77777777" w:rsidR="00EA5D02" w:rsidRDefault="00EA5D02">
            <w:pPr>
              <w:rPr>
                <w:b/>
              </w:rPr>
            </w:pPr>
          </w:p>
        </w:tc>
      </w:tr>
      <w:tr w:rsidR="00EA5D02" w14:paraId="69D8EFD6" w14:textId="77777777" w:rsidTr="00EA5D02">
        <w:tc>
          <w:tcPr>
            <w:tcW w:w="9242" w:type="dxa"/>
          </w:tcPr>
          <w:p w14:paraId="69D8EFD5" w14:textId="77777777" w:rsidR="00EA5D02" w:rsidRDefault="00EA5D02" w:rsidP="00B608AE">
            <w:pPr>
              <w:pStyle w:val="Heading3"/>
              <w:outlineLvl w:val="2"/>
            </w:pPr>
            <w:r w:rsidRPr="00EA5D02">
              <w:t>Material and Methods</w:t>
            </w:r>
          </w:p>
        </w:tc>
      </w:tr>
      <w:tr w:rsidR="00EA5D02" w14:paraId="69D8EFD9" w14:textId="77777777" w:rsidTr="00EA5D02">
        <w:tc>
          <w:tcPr>
            <w:tcW w:w="9242" w:type="dxa"/>
          </w:tcPr>
          <w:p w14:paraId="69D8EFD7" w14:textId="77777777" w:rsidR="00EA5D02" w:rsidRDefault="00EA5D02" w:rsidP="00EA5D02">
            <w:pPr>
              <w:spacing w:line="276" w:lineRule="auto"/>
            </w:pPr>
            <w:r>
              <w:t xml:space="preserve">A nationwide retrospective audit of the cross matches performed for LDKT work up in 2016 was performed. The outcome of each match with regards to whether transplantation occurred, reasons for not proceeding, entrance into the paired kidney exchange programme was then obtained from electronic patient records and liaison with respective transplant co-ordinators. </w:t>
            </w:r>
          </w:p>
          <w:p w14:paraId="69D8EFD8" w14:textId="77777777" w:rsidR="00EA5D02" w:rsidRDefault="00EA5D02">
            <w:pPr>
              <w:rPr>
                <w:b/>
              </w:rPr>
            </w:pPr>
          </w:p>
        </w:tc>
      </w:tr>
      <w:tr w:rsidR="00EA5D02" w14:paraId="69D8EFDB" w14:textId="77777777" w:rsidTr="00EA5D02">
        <w:tc>
          <w:tcPr>
            <w:tcW w:w="9242" w:type="dxa"/>
          </w:tcPr>
          <w:p w14:paraId="69D8EFDA" w14:textId="77777777" w:rsidR="00EA5D02" w:rsidRDefault="00EA5D02" w:rsidP="00B608AE">
            <w:pPr>
              <w:pStyle w:val="Heading3"/>
              <w:outlineLvl w:val="2"/>
            </w:pPr>
            <w:r w:rsidRPr="00EA5D02">
              <w:t>Results</w:t>
            </w:r>
          </w:p>
        </w:tc>
      </w:tr>
      <w:tr w:rsidR="00EA5D02" w14:paraId="69D8EFDE" w14:textId="77777777" w:rsidTr="00EA5D02">
        <w:tc>
          <w:tcPr>
            <w:tcW w:w="9242" w:type="dxa"/>
          </w:tcPr>
          <w:p w14:paraId="69D8EFDC" w14:textId="77777777" w:rsidR="00EA5D02" w:rsidRDefault="00EA5D02" w:rsidP="00EA5D02">
            <w:pPr>
              <w:spacing w:line="276" w:lineRule="auto"/>
            </w:pPr>
            <w:r>
              <w:t xml:space="preserve">A total of 269 cross matches were analysed from a total of 208 patients and 225 donors. 157 (58.6%) cross matches resulted in transplantation, and 112 (41.6%) were not transplanted. The most common reason for not proceeding to transplantation was a positive cross match (42.0%) followed by donor deemed not suitable (20.5%) and recipient not suitable for transplantation (10.7%). 23 cross matches were deemed avoidable based on reasons that could have been identified earlier in the work up process or unclear reasons for proceeding. Uptake of the paired kidney exchange programme by positively matched pairs was 27.6%. There were no significant differences in outcomes to transplant across the different district health boards. </w:t>
            </w:r>
          </w:p>
          <w:p w14:paraId="69D8EFDD" w14:textId="77777777" w:rsidR="00EA5D02" w:rsidRDefault="00EA5D02">
            <w:pPr>
              <w:rPr>
                <w:b/>
              </w:rPr>
            </w:pPr>
          </w:p>
        </w:tc>
      </w:tr>
      <w:tr w:rsidR="00EA5D02" w14:paraId="69D8EFE0" w14:textId="77777777" w:rsidTr="00EA5D02">
        <w:tc>
          <w:tcPr>
            <w:tcW w:w="9242" w:type="dxa"/>
          </w:tcPr>
          <w:p w14:paraId="69D8EFDF" w14:textId="77777777" w:rsidR="00EA5D02" w:rsidRDefault="00EA5D02" w:rsidP="00B608AE">
            <w:pPr>
              <w:pStyle w:val="Heading3"/>
              <w:outlineLvl w:val="2"/>
            </w:pPr>
            <w:r w:rsidRPr="00EA5D02">
              <w:t>Conclusion</w:t>
            </w:r>
          </w:p>
        </w:tc>
      </w:tr>
      <w:tr w:rsidR="00EA5D02" w14:paraId="69D8EFE3" w14:textId="77777777" w:rsidTr="00EA5D02">
        <w:tc>
          <w:tcPr>
            <w:tcW w:w="9242" w:type="dxa"/>
          </w:tcPr>
          <w:p w14:paraId="69D8EFE1" w14:textId="77777777" w:rsidR="00EA5D02" w:rsidRDefault="00EA5D02" w:rsidP="00EA5D02">
            <w:pPr>
              <w:spacing w:line="276" w:lineRule="auto"/>
            </w:pPr>
            <w:r>
              <w:t xml:space="preserve">Overall, there was an appropriate use of cross matches for work up for live donor kidney transplantation with few cases where cross matches could have been saved. Uptake of the paired kidney exchange is low and is an area that could be worked on to improve transplant outcomes of cross matches performed. </w:t>
            </w:r>
          </w:p>
          <w:p w14:paraId="69D8EFE2" w14:textId="77777777" w:rsidR="00EA5D02" w:rsidRDefault="00EA5D02">
            <w:pPr>
              <w:rPr>
                <w:b/>
              </w:rPr>
            </w:pPr>
          </w:p>
        </w:tc>
      </w:tr>
    </w:tbl>
    <w:p w14:paraId="69D8EFE4" w14:textId="77777777" w:rsidR="00B70A1B" w:rsidRDefault="00B70A1B" w:rsidP="00881916"/>
    <w:p w14:paraId="69D8EFE5" w14:textId="77777777" w:rsidR="002E17B7" w:rsidRDefault="002E17B7"/>
    <w:p w14:paraId="69D8EFE6" w14:textId="77777777" w:rsidR="00881916" w:rsidRDefault="00881916"/>
    <w:sectPr w:rsidR="00881916" w:rsidSect="007A03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EFE9" w14:textId="77777777" w:rsidR="001C4979" w:rsidRDefault="001C4979" w:rsidP="00EA5D02">
      <w:pPr>
        <w:spacing w:after="0" w:line="240" w:lineRule="auto"/>
      </w:pPr>
      <w:r>
        <w:separator/>
      </w:r>
    </w:p>
  </w:endnote>
  <w:endnote w:type="continuationSeparator" w:id="0">
    <w:p w14:paraId="69D8EFEA" w14:textId="77777777" w:rsidR="001C4979" w:rsidRDefault="001C4979" w:rsidP="00EA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EFEB" w14:textId="77777777" w:rsidR="00EA5D02" w:rsidRDefault="00EA5D02">
    <w:pPr>
      <w:pStyle w:val="Footer"/>
    </w:pPr>
  </w:p>
  <w:tbl>
    <w:tblPr>
      <w:tblStyle w:val="TableGrid"/>
      <w:tblW w:w="0" w:type="auto"/>
      <w:tblBorders>
        <w:top w:val="single" w:sz="24" w:space="0" w:color="0070C0"/>
        <w:left w:val="none" w:sz="0" w:space="0" w:color="auto"/>
        <w:bottom w:val="none" w:sz="0" w:space="0" w:color="auto"/>
        <w:right w:val="none" w:sz="0" w:space="0" w:color="auto"/>
        <w:insideH w:val="single" w:sz="24" w:space="0" w:color="0070C0"/>
        <w:insideV w:val="none" w:sz="0" w:space="0" w:color="auto"/>
      </w:tblBorders>
      <w:tblLook w:val="04A0" w:firstRow="1" w:lastRow="0" w:firstColumn="1" w:lastColumn="0" w:noHBand="0" w:noVBand="1"/>
    </w:tblPr>
    <w:tblGrid>
      <w:gridCol w:w="3227"/>
      <w:gridCol w:w="3260"/>
      <w:gridCol w:w="2755"/>
    </w:tblGrid>
    <w:tr w:rsidR="00065C35" w14:paraId="69D8EFEF" w14:textId="77777777" w:rsidTr="00065C35">
      <w:trPr>
        <w:trHeight w:val="451"/>
      </w:trPr>
      <w:tc>
        <w:tcPr>
          <w:tcW w:w="3227" w:type="dxa"/>
        </w:tcPr>
        <w:p w14:paraId="69D8EFEC" w14:textId="77777777" w:rsidR="00065C35" w:rsidRPr="0038637E" w:rsidRDefault="00065C35" w:rsidP="002445E2">
          <w:pPr>
            <w:pStyle w:val="Footer"/>
            <w:rPr>
              <w:sz w:val="20"/>
              <w:szCs w:val="20"/>
            </w:rPr>
          </w:pPr>
          <w:r>
            <w:rPr>
              <w:sz w:val="20"/>
              <w:szCs w:val="20"/>
            </w:rPr>
            <w:t>Uploaded in August 2020</w:t>
          </w:r>
        </w:p>
      </w:tc>
      <w:tc>
        <w:tcPr>
          <w:tcW w:w="3260" w:type="dxa"/>
        </w:tcPr>
        <w:p w14:paraId="69D8EFED" w14:textId="77777777" w:rsidR="00065C35" w:rsidRDefault="00065C35" w:rsidP="002445E2">
          <w:pPr>
            <w:pStyle w:val="Footer"/>
          </w:pPr>
        </w:p>
      </w:tc>
      <w:tc>
        <w:tcPr>
          <w:tcW w:w="2755" w:type="dxa"/>
        </w:tcPr>
        <w:p w14:paraId="69D8EFEE" w14:textId="77777777" w:rsidR="00065C35" w:rsidRDefault="00065C35" w:rsidP="002445E2">
          <w:pPr>
            <w:pStyle w:val="Footer"/>
            <w:jc w:val="right"/>
          </w:pPr>
          <w:r w:rsidRPr="00B557FE">
            <w:rPr>
              <w:rFonts w:cs="Arial"/>
              <w:snapToGrid w:val="0"/>
              <w:sz w:val="20"/>
              <w:szCs w:val="20"/>
            </w:rPr>
            <w:t xml:space="preserve">Page </w:t>
          </w:r>
          <w:r w:rsidR="003261FF" w:rsidRPr="00B557FE">
            <w:rPr>
              <w:rFonts w:cs="Arial"/>
              <w:snapToGrid w:val="0"/>
              <w:sz w:val="20"/>
              <w:szCs w:val="20"/>
            </w:rPr>
            <w:fldChar w:fldCharType="begin"/>
          </w:r>
          <w:r w:rsidRPr="00B557FE">
            <w:rPr>
              <w:rFonts w:cs="Arial"/>
              <w:snapToGrid w:val="0"/>
              <w:sz w:val="20"/>
              <w:szCs w:val="20"/>
            </w:rPr>
            <w:instrText xml:space="preserve"> PAGE </w:instrText>
          </w:r>
          <w:r w:rsidR="003261FF" w:rsidRPr="00B557FE">
            <w:rPr>
              <w:rFonts w:cs="Arial"/>
              <w:snapToGrid w:val="0"/>
              <w:sz w:val="20"/>
              <w:szCs w:val="20"/>
            </w:rPr>
            <w:fldChar w:fldCharType="separate"/>
          </w:r>
          <w:r w:rsidR="00A40829">
            <w:rPr>
              <w:rFonts w:cs="Arial"/>
              <w:noProof/>
              <w:snapToGrid w:val="0"/>
              <w:sz w:val="20"/>
              <w:szCs w:val="20"/>
            </w:rPr>
            <w:t>1</w:t>
          </w:r>
          <w:r w:rsidR="003261FF" w:rsidRPr="00B557FE">
            <w:rPr>
              <w:rFonts w:cs="Arial"/>
              <w:snapToGrid w:val="0"/>
              <w:sz w:val="20"/>
              <w:szCs w:val="20"/>
            </w:rPr>
            <w:fldChar w:fldCharType="end"/>
          </w:r>
          <w:r w:rsidRPr="00B557FE">
            <w:rPr>
              <w:rFonts w:cs="Arial"/>
              <w:snapToGrid w:val="0"/>
              <w:sz w:val="20"/>
              <w:szCs w:val="20"/>
            </w:rPr>
            <w:t xml:space="preserve"> of </w:t>
          </w:r>
          <w:r w:rsidR="003261FF" w:rsidRPr="00B557FE">
            <w:rPr>
              <w:rFonts w:cs="Arial"/>
              <w:snapToGrid w:val="0"/>
              <w:sz w:val="20"/>
              <w:szCs w:val="20"/>
            </w:rPr>
            <w:fldChar w:fldCharType="begin"/>
          </w:r>
          <w:r w:rsidRPr="00B557FE">
            <w:rPr>
              <w:rFonts w:cs="Arial"/>
              <w:snapToGrid w:val="0"/>
              <w:sz w:val="20"/>
              <w:szCs w:val="20"/>
            </w:rPr>
            <w:instrText xml:space="preserve"> NUMPAGES </w:instrText>
          </w:r>
          <w:r w:rsidR="003261FF" w:rsidRPr="00B557FE">
            <w:rPr>
              <w:rFonts w:cs="Arial"/>
              <w:snapToGrid w:val="0"/>
              <w:sz w:val="20"/>
              <w:szCs w:val="20"/>
            </w:rPr>
            <w:fldChar w:fldCharType="separate"/>
          </w:r>
          <w:r w:rsidR="00A40829">
            <w:rPr>
              <w:rFonts w:cs="Arial"/>
              <w:noProof/>
              <w:snapToGrid w:val="0"/>
              <w:sz w:val="20"/>
              <w:szCs w:val="20"/>
            </w:rPr>
            <w:t>1</w:t>
          </w:r>
          <w:r w:rsidR="003261FF" w:rsidRPr="00B557FE">
            <w:rPr>
              <w:rFonts w:cs="Arial"/>
              <w:snapToGrid w:val="0"/>
              <w:sz w:val="20"/>
              <w:szCs w:val="20"/>
            </w:rPr>
            <w:fldChar w:fldCharType="end"/>
          </w:r>
        </w:p>
      </w:tc>
    </w:tr>
  </w:tbl>
  <w:p w14:paraId="69D8EFF0" w14:textId="77777777" w:rsidR="00EA5D02" w:rsidRDefault="00EA5D02">
    <w:pPr>
      <w:pStyle w:val="Footer"/>
    </w:pPr>
  </w:p>
  <w:p w14:paraId="69D8EFF1" w14:textId="77777777" w:rsidR="00EA5D02" w:rsidRDefault="00EA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EFE7" w14:textId="77777777" w:rsidR="001C4979" w:rsidRDefault="001C4979" w:rsidP="00EA5D02">
      <w:pPr>
        <w:spacing w:after="0" w:line="240" w:lineRule="auto"/>
      </w:pPr>
      <w:r>
        <w:separator/>
      </w:r>
    </w:p>
  </w:footnote>
  <w:footnote w:type="continuationSeparator" w:id="0">
    <w:p w14:paraId="69D8EFE8" w14:textId="77777777" w:rsidR="001C4979" w:rsidRDefault="001C4979" w:rsidP="00EA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916"/>
    <w:rsid w:val="000245CB"/>
    <w:rsid w:val="00065C35"/>
    <w:rsid w:val="000D3D69"/>
    <w:rsid w:val="0012073C"/>
    <w:rsid w:val="001C4979"/>
    <w:rsid w:val="0020756B"/>
    <w:rsid w:val="00253A93"/>
    <w:rsid w:val="002E17B7"/>
    <w:rsid w:val="003261FF"/>
    <w:rsid w:val="00395870"/>
    <w:rsid w:val="003F7929"/>
    <w:rsid w:val="00407E89"/>
    <w:rsid w:val="00564FFC"/>
    <w:rsid w:val="006E5625"/>
    <w:rsid w:val="0072699C"/>
    <w:rsid w:val="00755CE9"/>
    <w:rsid w:val="007A03B1"/>
    <w:rsid w:val="007D6721"/>
    <w:rsid w:val="00811272"/>
    <w:rsid w:val="0082141D"/>
    <w:rsid w:val="008248FC"/>
    <w:rsid w:val="00854FEB"/>
    <w:rsid w:val="008643C6"/>
    <w:rsid w:val="00881916"/>
    <w:rsid w:val="00913E6D"/>
    <w:rsid w:val="00A24336"/>
    <w:rsid w:val="00A40829"/>
    <w:rsid w:val="00A5278D"/>
    <w:rsid w:val="00A668A4"/>
    <w:rsid w:val="00B608AE"/>
    <w:rsid w:val="00B70A1B"/>
    <w:rsid w:val="00B774F2"/>
    <w:rsid w:val="00CA127F"/>
    <w:rsid w:val="00D25034"/>
    <w:rsid w:val="00D53754"/>
    <w:rsid w:val="00DA0F9A"/>
    <w:rsid w:val="00DB3C5A"/>
    <w:rsid w:val="00E674E0"/>
    <w:rsid w:val="00EA5D02"/>
    <w:rsid w:val="00EC07FC"/>
    <w:rsid w:val="00F2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8EFC7"/>
  <w15:docId w15:val="{AF14DE1F-4D7A-4AAE-A1B6-18D267C7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3B1"/>
  </w:style>
  <w:style w:type="paragraph" w:styleId="Heading1">
    <w:name w:val="heading 1"/>
    <w:basedOn w:val="Normal"/>
    <w:next w:val="Normal"/>
    <w:link w:val="Heading1Char"/>
    <w:uiPriority w:val="9"/>
    <w:qFormat/>
    <w:rsid w:val="00B608AE"/>
    <w:pPr>
      <w:spacing w:after="0" w:line="240" w:lineRule="auto"/>
      <w:outlineLvl w:val="0"/>
    </w:pPr>
    <w:rPr>
      <w:b/>
      <w:sz w:val="36"/>
      <w:szCs w:val="36"/>
    </w:rPr>
  </w:style>
  <w:style w:type="paragraph" w:styleId="Heading2">
    <w:name w:val="heading 2"/>
    <w:basedOn w:val="Normal"/>
    <w:next w:val="Normal"/>
    <w:link w:val="Heading2Char"/>
    <w:uiPriority w:val="9"/>
    <w:unhideWhenUsed/>
    <w:qFormat/>
    <w:rsid w:val="00B608AE"/>
    <w:pPr>
      <w:spacing w:after="0" w:line="240" w:lineRule="auto"/>
      <w:outlineLvl w:val="1"/>
    </w:pPr>
    <w:rPr>
      <w:b/>
      <w:sz w:val="32"/>
      <w:szCs w:val="32"/>
    </w:rPr>
  </w:style>
  <w:style w:type="paragraph" w:styleId="Heading3">
    <w:name w:val="heading 3"/>
    <w:basedOn w:val="Normal"/>
    <w:next w:val="Normal"/>
    <w:link w:val="Heading3Char"/>
    <w:uiPriority w:val="9"/>
    <w:unhideWhenUsed/>
    <w:qFormat/>
    <w:rsid w:val="00B608AE"/>
    <w:pPr>
      <w:spacing w:after="0" w:line="240" w:lineRule="auto"/>
      <w:outlineLvl w:val="2"/>
    </w:pPr>
    <w:rPr>
      <w:b/>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02"/>
    <w:rPr>
      <w:rFonts w:ascii="Tahoma" w:hAnsi="Tahoma" w:cs="Tahoma"/>
      <w:sz w:val="16"/>
      <w:szCs w:val="16"/>
    </w:rPr>
  </w:style>
  <w:style w:type="paragraph" w:styleId="Header">
    <w:name w:val="header"/>
    <w:basedOn w:val="Normal"/>
    <w:link w:val="HeaderChar"/>
    <w:uiPriority w:val="99"/>
    <w:semiHidden/>
    <w:unhideWhenUsed/>
    <w:rsid w:val="00EA5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D02"/>
  </w:style>
  <w:style w:type="paragraph" w:styleId="Footer">
    <w:name w:val="footer"/>
    <w:basedOn w:val="Normal"/>
    <w:link w:val="FooterChar"/>
    <w:uiPriority w:val="99"/>
    <w:unhideWhenUsed/>
    <w:rsid w:val="00EA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02"/>
  </w:style>
  <w:style w:type="character" w:customStyle="1" w:styleId="Heading1Char">
    <w:name w:val="Heading 1 Char"/>
    <w:basedOn w:val="DefaultParagraphFont"/>
    <w:link w:val="Heading1"/>
    <w:uiPriority w:val="9"/>
    <w:rsid w:val="00B608AE"/>
    <w:rPr>
      <w:b/>
      <w:sz w:val="36"/>
      <w:szCs w:val="36"/>
    </w:rPr>
  </w:style>
  <w:style w:type="character" w:customStyle="1" w:styleId="Heading2Char">
    <w:name w:val="Heading 2 Char"/>
    <w:basedOn w:val="DefaultParagraphFont"/>
    <w:link w:val="Heading2"/>
    <w:uiPriority w:val="9"/>
    <w:rsid w:val="00B608AE"/>
    <w:rPr>
      <w:b/>
      <w:sz w:val="32"/>
      <w:szCs w:val="32"/>
    </w:rPr>
  </w:style>
  <w:style w:type="character" w:customStyle="1" w:styleId="Heading3Char">
    <w:name w:val="Heading 3 Char"/>
    <w:basedOn w:val="DefaultParagraphFont"/>
    <w:link w:val="Heading3"/>
    <w:uiPriority w:val="9"/>
    <w:rsid w:val="00B608AE"/>
    <w:rPr>
      <w:b/>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Live Donor Renal Transplantation Cross Matches in 2016 in New Zealand and their Outcomes to Transplantation</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Donor Renal Transplantation Cross Matches in 2016 in New Zealand and their Outcomes to Transplantation</dc:title>
  <dc:subject/>
  <dc:creator/>
  <cp:keywords/>
  <dc:description/>
  <cp:lastModifiedBy>Louise Lum</cp:lastModifiedBy>
  <cp:revision>27</cp:revision>
  <cp:lastPrinted>2020-08-28T01:12:00Z</cp:lastPrinted>
  <dcterms:created xsi:type="dcterms:W3CDTF">2020-07-19T02:06:00Z</dcterms:created>
  <dcterms:modified xsi:type="dcterms:W3CDTF">2020-08-28T01:12:00Z</dcterms:modified>
</cp:coreProperties>
</file>