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CD348" w14:textId="77777777" w:rsidR="003B6AD9" w:rsidRPr="00610EC4" w:rsidRDefault="003B6AD9" w:rsidP="00D73D4C">
      <w:pPr>
        <w:pStyle w:val="Heading1"/>
        <w:jc w:val="left"/>
      </w:pPr>
      <w:r w:rsidRPr="00610EC4">
        <w:t>Tool Summary Sheet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747"/>
        <w:gridCol w:w="11211"/>
      </w:tblGrid>
      <w:tr w:rsidR="003B6AD9" w:rsidRPr="001A58A5" w14:paraId="25B746FA" w14:textId="77777777" w:rsidTr="00D277EB">
        <w:tc>
          <w:tcPr>
            <w:tcW w:w="984" w:type="pct"/>
          </w:tcPr>
          <w:p w14:paraId="2F425D94" w14:textId="77777777" w:rsidR="003B6AD9" w:rsidRPr="001A58A5" w:rsidRDefault="003B6AD9" w:rsidP="00D277EB">
            <w:pPr>
              <w:pStyle w:val="TRH-TableRowHeading"/>
            </w:pPr>
            <w:r w:rsidRPr="001A58A5">
              <w:t>Tool:</w:t>
            </w:r>
          </w:p>
        </w:tc>
        <w:tc>
          <w:tcPr>
            <w:tcW w:w="4016" w:type="pct"/>
          </w:tcPr>
          <w:p w14:paraId="200CCA3D" w14:textId="77777777" w:rsidR="003B6AD9" w:rsidRPr="001A58A5" w:rsidRDefault="003B6AD9" w:rsidP="00D73D4C">
            <w:pPr>
              <w:pStyle w:val="TX-TableText"/>
            </w:pPr>
            <w:r w:rsidRPr="00B11CF4">
              <w:t xml:space="preserve">Protocol </w:t>
            </w:r>
            <w:r w:rsidR="00D73D4C">
              <w:t xml:space="preserve">Violation </w:t>
            </w:r>
            <w:r w:rsidRPr="00B11CF4">
              <w:t xml:space="preserve">Tracking </w:t>
            </w:r>
            <w:r w:rsidR="00D73D4C">
              <w:t>Register</w:t>
            </w:r>
          </w:p>
        </w:tc>
      </w:tr>
      <w:tr w:rsidR="003B6AD9" w:rsidRPr="001A58A5" w14:paraId="283177E1" w14:textId="77777777" w:rsidTr="00D277EB">
        <w:tc>
          <w:tcPr>
            <w:tcW w:w="984" w:type="pct"/>
          </w:tcPr>
          <w:p w14:paraId="032A9CDF" w14:textId="77777777" w:rsidR="003B6AD9" w:rsidRPr="001A58A5" w:rsidRDefault="003B6AD9" w:rsidP="00D277EB">
            <w:pPr>
              <w:pStyle w:val="TRH-TableRowHeading"/>
            </w:pPr>
            <w:r w:rsidRPr="001A58A5">
              <w:t>Purpose:</w:t>
            </w:r>
          </w:p>
        </w:tc>
        <w:tc>
          <w:tcPr>
            <w:tcW w:w="4016" w:type="pct"/>
          </w:tcPr>
          <w:p w14:paraId="14D0C565" w14:textId="77777777" w:rsidR="003B6AD9" w:rsidRPr="001A58A5" w:rsidRDefault="003B6AD9" w:rsidP="00355328">
            <w:pPr>
              <w:pStyle w:val="TX-TableText"/>
              <w:numPr>
                <w:ilvl w:val="0"/>
                <w:numId w:val="2"/>
              </w:numPr>
            </w:pPr>
            <w:r w:rsidRPr="00B11CF4">
              <w:t xml:space="preserve">To record </w:t>
            </w:r>
            <w:r w:rsidR="00A903D0">
              <w:t>issues with application of the NZ Kidney Allocation Scheme (NKAS) algorithm</w:t>
            </w:r>
            <w:r w:rsidR="00355328">
              <w:t>,</w:t>
            </w:r>
            <w:r w:rsidR="00B34B67">
              <w:t xml:space="preserve"> corrective action taken and preventative advice to mitigate against a recurrence</w:t>
            </w:r>
            <w:r w:rsidR="00355328">
              <w:t>, and 2) to disseminate learnings among other NZ clinical practice sites</w:t>
            </w:r>
            <w:r w:rsidR="00B34B67">
              <w:t>.</w:t>
            </w:r>
            <w:r w:rsidR="00355328">
              <w:t xml:space="preserve"> The register does not replace District Health Board (DHB) or other legally required disclosures.</w:t>
            </w:r>
          </w:p>
        </w:tc>
      </w:tr>
      <w:tr w:rsidR="003B6AD9" w:rsidRPr="001A58A5" w14:paraId="6219B117" w14:textId="77777777" w:rsidTr="00D277EB">
        <w:tc>
          <w:tcPr>
            <w:tcW w:w="984" w:type="pct"/>
          </w:tcPr>
          <w:p w14:paraId="0CD0C876" w14:textId="77777777" w:rsidR="003B6AD9" w:rsidRPr="001A58A5" w:rsidRDefault="003B6AD9" w:rsidP="00D277EB">
            <w:pPr>
              <w:pStyle w:val="TRH-TableRowHeading"/>
            </w:pPr>
            <w:r w:rsidRPr="001A58A5">
              <w:t>Audience/User:</w:t>
            </w:r>
          </w:p>
        </w:tc>
        <w:tc>
          <w:tcPr>
            <w:tcW w:w="4016" w:type="pct"/>
          </w:tcPr>
          <w:p w14:paraId="40A7028D" w14:textId="77777777" w:rsidR="003B6AD9" w:rsidRPr="001A58A5" w:rsidRDefault="00D73D4C" w:rsidP="00D277EB">
            <w:pPr>
              <w:pStyle w:val="TX-TableText"/>
            </w:pPr>
            <w:r>
              <w:t xml:space="preserve">Members of </w:t>
            </w:r>
            <w:r w:rsidR="00A903D0">
              <w:t xml:space="preserve">the National Renal Transplant Leadership Team (NRTLT) and </w:t>
            </w:r>
            <w:r w:rsidR="00355328">
              <w:t>Clinical Teams in DHBs</w:t>
            </w:r>
          </w:p>
        </w:tc>
      </w:tr>
      <w:tr w:rsidR="003B6AD9" w:rsidRPr="001A58A5" w14:paraId="2385AA2B" w14:textId="77777777" w:rsidTr="00D277EB">
        <w:tc>
          <w:tcPr>
            <w:tcW w:w="984" w:type="pct"/>
          </w:tcPr>
          <w:p w14:paraId="0EAB9F58" w14:textId="77777777" w:rsidR="003B6AD9" w:rsidRPr="001A58A5" w:rsidRDefault="003B6AD9" w:rsidP="00D277EB">
            <w:pPr>
              <w:pStyle w:val="TRH-TableRowHeading"/>
            </w:pPr>
            <w:r>
              <w:t>Background:</w:t>
            </w:r>
          </w:p>
        </w:tc>
        <w:tc>
          <w:tcPr>
            <w:tcW w:w="4016" w:type="pct"/>
          </w:tcPr>
          <w:p w14:paraId="690C9A3B" w14:textId="77777777" w:rsidR="003B6AD9" w:rsidRPr="00B11CF4" w:rsidRDefault="00A903D0" w:rsidP="00355328">
            <w:pPr>
              <w:pStyle w:val="TX-TableText"/>
            </w:pPr>
            <w:r>
              <w:t xml:space="preserve">NRTLT provides clinical governance over the NKAS. NKAS is designed to provide </w:t>
            </w:r>
            <w:r w:rsidR="00C43DFF">
              <w:t>clinically</w:t>
            </w:r>
            <w:r>
              <w:t xml:space="preserve"> appropriate, reproducible and transparent kidney allocation according to the overall aims of NZs deceased donor kidney transplant program, balancing utility and fairness to patients waiting for a deceased donor transplant. </w:t>
            </w:r>
          </w:p>
        </w:tc>
      </w:tr>
      <w:tr w:rsidR="003B6AD9" w:rsidRPr="001A58A5" w14:paraId="7976EE9E" w14:textId="77777777" w:rsidTr="00D277EB">
        <w:tc>
          <w:tcPr>
            <w:tcW w:w="984" w:type="pct"/>
          </w:tcPr>
          <w:p w14:paraId="59DDFA34" w14:textId="77777777" w:rsidR="003B6AD9" w:rsidRPr="001A58A5" w:rsidRDefault="003B6AD9" w:rsidP="00D277EB">
            <w:pPr>
              <w:pStyle w:val="TRH-TableRowHeading"/>
            </w:pPr>
            <w:r w:rsidRPr="001A58A5">
              <w:t>Details:</w:t>
            </w:r>
          </w:p>
        </w:tc>
        <w:tc>
          <w:tcPr>
            <w:tcW w:w="4016" w:type="pct"/>
          </w:tcPr>
          <w:p w14:paraId="33D47AC7" w14:textId="77777777" w:rsidR="003B6AD9" w:rsidRPr="001A58A5" w:rsidRDefault="003B6AD9" w:rsidP="00355328">
            <w:pPr>
              <w:pStyle w:val="TX-TableText"/>
            </w:pPr>
            <w:r>
              <w:t xml:space="preserve">This tracking </w:t>
            </w:r>
            <w:r w:rsidR="00D73D4C">
              <w:t>register</w:t>
            </w:r>
            <w:r w:rsidR="00A124D6">
              <w:t xml:space="preserve"> </w:t>
            </w:r>
            <w:r w:rsidR="00A903D0">
              <w:t>provides de</w:t>
            </w:r>
            <w:r w:rsidR="00A124D6">
              <w:t>-</w:t>
            </w:r>
            <w:r w:rsidR="00A903D0">
              <w:t xml:space="preserve">identified details of </w:t>
            </w:r>
            <w:r w:rsidR="00BD3F70">
              <w:t>any violation or near violation due to process error. Patient identifying information is not kept</w:t>
            </w:r>
            <w:r w:rsidR="00355328">
              <w:t>.</w:t>
            </w:r>
          </w:p>
        </w:tc>
      </w:tr>
      <w:tr w:rsidR="003B6AD9" w:rsidRPr="001A58A5" w14:paraId="08DE690E" w14:textId="77777777" w:rsidTr="00D277EB">
        <w:tc>
          <w:tcPr>
            <w:tcW w:w="984" w:type="pct"/>
          </w:tcPr>
          <w:p w14:paraId="62AD2ACB" w14:textId="77777777" w:rsidR="003B6AD9" w:rsidRPr="001A58A5" w:rsidRDefault="003B6AD9" w:rsidP="00D277EB">
            <w:pPr>
              <w:pStyle w:val="TRH-TableRowHeading"/>
            </w:pPr>
            <w:r w:rsidRPr="001A58A5">
              <w:t>Best Practice Recommendations:</w:t>
            </w:r>
          </w:p>
        </w:tc>
        <w:tc>
          <w:tcPr>
            <w:tcW w:w="4016" w:type="pct"/>
          </w:tcPr>
          <w:p w14:paraId="284F9047" w14:textId="77777777" w:rsidR="003B6AD9" w:rsidRDefault="00BD3F70" w:rsidP="00D277EB">
            <w:pPr>
              <w:pStyle w:val="TB-TableBullets"/>
            </w:pPr>
            <w:r>
              <w:t xml:space="preserve">The Medical Director of the Kidney Allocation Scheme, or delegate, reports </w:t>
            </w:r>
            <w:r w:rsidR="003B6AD9">
              <w:t xml:space="preserve">protocol deviations </w:t>
            </w:r>
            <w:r w:rsidR="00355328">
              <w:t xml:space="preserve">to the NRTS </w:t>
            </w:r>
            <w:r w:rsidR="003B6AD9">
              <w:t>as they occur</w:t>
            </w:r>
            <w:r>
              <w:t>.</w:t>
            </w:r>
          </w:p>
          <w:p w14:paraId="0F5EC82A" w14:textId="77777777" w:rsidR="003B6AD9" w:rsidRDefault="00355328" w:rsidP="00355328">
            <w:pPr>
              <w:pStyle w:val="TB-TableBullets"/>
            </w:pPr>
            <w:r>
              <w:t xml:space="preserve">NRTS records details in register (patient </w:t>
            </w:r>
            <w:r w:rsidR="00BD3F70">
              <w:t>de</w:t>
            </w:r>
            <w:r w:rsidR="00A124D6">
              <w:t>-</w:t>
            </w:r>
            <w:r w:rsidR="00F71305">
              <w:t>identified</w:t>
            </w:r>
            <w:r>
              <w:t xml:space="preserve">) including </w:t>
            </w:r>
            <w:r w:rsidR="00D73D4C">
              <w:t>date that the information is registered, assign a sequential number, write a brief description of the incident</w:t>
            </w:r>
            <w:r>
              <w:t xml:space="preserve"> including protocol violated</w:t>
            </w:r>
            <w:r w:rsidR="00D73D4C">
              <w:t xml:space="preserve">, </w:t>
            </w:r>
            <w:r w:rsidR="00331247">
              <w:t xml:space="preserve">and </w:t>
            </w:r>
            <w:r>
              <w:t xml:space="preserve">any </w:t>
            </w:r>
            <w:r w:rsidR="00D73D4C">
              <w:t>correct</w:t>
            </w:r>
            <w:r>
              <w:t>ive</w:t>
            </w:r>
            <w:r w:rsidR="00D73D4C">
              <w:t xml:space="preserve"> action taken.</w:t>
            </w:r>
          </w:p>
          <w:p w14:paraId="4231BAF7" w14:textId="77777777" w:rsidR="00355328" w:rsidRPr="001A58A5" w:rsidRDefault="00355328" w:rsidP="00355328">
            <w:pPr>
              <w:pStyle w:val="TB-TableBullets"/>
            </w:pPr>
            <w:r>
              <w:t>NRTLT reviews register at each meeting, makes any additional recommendations and</w:t>
            </w:r>
            <w:r w:rsidR="00BD3F70">
              <w:t>/or</w:t>
            </w:r>
            <w:r>
              <w:t xml:space="preserve"> disseminates </w:t>
            </w:r>
            <w:r w:rsidR="00BD3F70">
              <w:t xml:space="preserve">information </w:t>
            </w:r>
            <w:r>
              <w:t>as appropriate</w:t>
            </w:r>
          </w:p>
        </w:tc>
      </w:tr>
      <w:tr w:rsidR="00D73D4C" w:rsidRPr="001A58A5" w14:paraId="781637CF" w14:textId="77777777" w:rsidTr="00D277EB">
        <w:tc>
          <w:tcPr>
            <w:tcW w:w="984" w:type="pct"/>
          </w:tcPr>
          <w:p w14:paraId="5770F0F6" w14:textId="77777777" w:rsidR="00D73D4C" w:rsidRPr="001A58A5" w:rsidRDefault="00D73D4C" w:rsidP="00D277EB">
            <w:pPr>
              <w:pStyle w:val="TRH-TableRowHeading"/>
            </w:pPr>
            <w:r>
              <w:t>Definitions:</w:t>
            </w:r>
          </w:p>
        </w:tc>
        <w:tc>
          <w:tcPr>
            <w:tcW w:w="4016" w:type="pct"/>
          </w:tcPr>
          <w:p w14:paraId="22D8F405" w14:textId="77777777" w:rsidR="00D73D4C" w:rsidRDefault="00D73D4C" w:rsidP="00355328">
            <w:pPr>
              <w:pStyle w:val="TB-TableBullets"/>
            </w:pPr>
            <w:r>
              <w:rPr>
                <w:sz w:val="21"/>
                <w:szCs w:val="21"/>
              </w:rPr>
              <w:t xml:space="preserve">Protocol Violation: Any deviation </w:t>
            </w:r>
            <w:r w:rsidR="00355328">
              <w:rPr>
                <w:sz w:val="21"/>
                <w:szCs w:val="21"/>
              </w:rPr>
              <w:t xml:space="preserve">from </w:t>
            </w:r>
            <w:r w:rsidR="00BD3F70">
              <w:rPr>
                <w:sz w:val="21"/>
                <w:szCs w:val="21"/>
              </w:rPr>
              <w:t xml:space="preserve">NKAS </w:t>
            </w:r>
            <w:r>
              <w:rPr>
                <w:sz w:val="21"/>
                <w:szCs w:val="21"/>
              </w:rPr>
              <w:t xml:space="preserve">that </w:t>
            </w:r>
            <w:r w:rsidR="00355328">
              <w:rPr>
                <w:sz w:val="21"/>
                <w:szCs w:val="21"/>
              </w:rPr>
              <w:t xml:space="preserve">could have or </w:t>
            </w:r>
            <w:r w:rsidR="00355328" w:rsidRPr="00355328">
              <w:rPr>
                <w:iCs/>
                <w:sz w:val="21"/>
                <w:szCs w:val="21"/>
              </w:rPr>
              <w:t xml:space="preserve">has </w:t>
            </w:r>
            <w:r w:rsidRPr="00355328">
              <w:rPr>
                <w:iCs/>
                <w:sz w:val="21"/>
                <w:szCs w:val="21"/>
              </w:rPr>
              <w:t>affect</w:t>
            </w:r>
            <w:r w:rsidR="00355328" w:rsidRPr="00355328">
              <w:rPr>
                <w:iCs/>
                <w:sz w:val="21"/>
                <w:szCs w:val="21"/>
              </w:rPr>
              <w:t>ed</w:t>
            </w:r>
            <w:r w:rsidR="00A124D6">
              <w:rPr>
                <w:iCs/>
                <w:sz w:val="21"/>
                <w:szCs w:val="21"/>
              </w:rPr>
              <w:t xml:space="preserve"> </w:t>
            </w:r>
            <w:r w:rsidR="00BD3F70">
              <w:rPr>
                <w:sz w:val="21"/>
                <w:szCs w:val="21"/>
              </w:rPr>
              <w:t xml:space="preserve">a waitlisted persons opportunity to be transplanted or clinical outcome </w:t>
            </w:r>
          </w:p>
        </w:tc>
      </w:tr>
      <w:tr w:rsidR="00331247" w:rsidRPr="001A58A5" w14:paraId="3EFF4011" w14:textId="77777777" w:rsidTr="00D277EB">
        <w:tc>
          <w:tcPr>
            <w:tcW w:w="984" w:type="pct"/>
          </w:tcPr>
          <w:p w14:paraId="0767F1CB" w14:textId="77777777" w:rsidR="00331247" w:rsidRDefault="00331247" w:rsidP="00D277EB">
            <w:pPr>
              <w:pStyle w:val="TRH-TableRowHeading"/>
            </w:pPr>
          </w:p>
        </w:tc>
        <w:tc>
          <w:tcPr>
            <w:tcW w:w="4016" w:type="pct"/>
          </w:tcPr>
          <w:p w14:paraId="39B3BA4F" w14:textId="77777777" w:rsidR="00331247" w:rsidRDefault="00331247" w:rsidP="006D4FFC">
            <w:pPr>
              <w:pStyle w:val="TB-TableBullets"/>
            </w:pPr>
            <w:r>
              <w:t>This register is a log only; not a location for recording the processes undertaken and the personnel involved.</w:t>
            </w:r>
          </w:p>
        </w:tc>
      </w:tr>
    </w:tbl>
    <w:p w14:paraId="61499E12" w14:textId="77777777" w:rsidR="00092089" w:rsidRDefault="00092089">
      <w:pPr>
        <w:rPr>
          <w:sz w:val="24"/>
          <w:szCs w:val="24"/>
        </w:rPr>
      </w:pPr>
    </w:p>
    <w:p w14:paraId="604206D5" w14:textId="77777777" w:rsidR="00092089" w:rsidRDefault="0009208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00D019A" w14:textId="77777777" w:rsidR="00867B31" w:rsidRDefault="00867B31">
      <w:pPr>
        <w:rPr>
          <w:sz w:val="24"/>
          <w:szCs w:val="24"/>
        </w:rPr>
      </w:pP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1190"/>
        <w:gridCol w:w="1133"/>
        <w:gridCol w:w="5047"/>
        <w:gridCol w:w="3525"/>
        <w:gridCol w:w="3134"/>
      </w:tblGrid>
      <w:tr w:rsidR="00867B31" w14:paraId="61A8B6A5" w14:textId="77777777" w:rsidTr="00063DEC">
        <w:trPr>
          <w:tblHeader/>
        </w:trPr>
        <w:tc>
          <w:tcPr>
            <w:tcW w:w="1190" w:type="dxa"/>
            <w:shd w:val="clear" w:color="auto" w:fill="F2F2F2" w:themeFill="background1" w:themeFillShade="F2"/>
          </w:tcPr>
          <w:p w14:paraId="6E03642F" w14:textId="77777777" w:rsidR="00867B31" w:rsidRPr="00B34B67" w:rsidRDefault="00867B31">
            <w:pPr>
              <w:rPr>
                <w:b/>
                <w:sz w:val="16"/>
                <w:szCs w:val="16"/>
              </w:rPr>
            </w:pPr>
            <w:r w:rsidRPr="00B34B67">
              <w:rPr>
                <w:b/>
                <w:sz w:val="16"/>
                <w:szCs w:val="16"/>
              </w:rPr>
              <w:t xml:space="preserve">Date violation </w:t>
            </w:r>
            <w:r w:rsidR="00B34B67">
              <w:rPr>
                <w:b/>
                <w:sz w:val="16"/>
                <w:szCs w:val="16"/>
              </w:rPr>
              <w:t xml:space="preserve">information was </w:t>
            </w:r>
            <w:r w:rsidRPr="00B34B67">
              <w:rPr>
                <w:b/>
                <w:sz w:val="16"/>
                <w:szCs w:val="16"/>
              </w:rPr>
              <w:t>entered</w:t>
            </w:r>
          </w:p>
        </w:tc>
        <w:tc>
          <w:tcPr>
            <w:tcW w:w="1133" w:type="dxa"/>
            <w:shd w:val="clear" w:color="auto" w:fill="F2F2F2" w:themeFill="background1" w:themeFillShade="F2"/>
          </w:tcPr>
          <w:p w14:paraId="132746DA" w14:textId="77777777" w:rsidR="00867B31" w:rsidRPr="00B34B67" w:rsidRDefault="00867B31">
            <w:pPr>
              <w:rPr>
                <w:b/>
              </w:rPr>
            </w:pPr>
            <w:r w:rsidRPr="00B34B67">
              <w:rPr>
                <w:b/>
              </w:rPr>
              <w:t>Violation number</w:t>
            </w:r>
          </w:p>
        </w:tc>
        <w:tc>
          <w:tcPr>
            <w:tcW w:w="5047" w:type="dxa"/>
            <w:shd w:val="clear" w:color="auto" w:fill="F2F2F2" w:themeFill="background1" w:themeFillShade="F2"/>
          </w:tcPr>
          <w:p w14:paraId="64D5E2B3" w14:textId="77777777" w:rsidR="00867B31" w:rsidRPr="00B34B67" w:rsidRDefault="00867B31" w:rsidP="00867B31">
            <w:pPr>
              <w:rPr>
                <w:b/>
              </w:rPr>
            </w:pPr>
            <w:r w:rsidRPr="00B34B67">
              <w:rPr>
                <w:b/>
              </w:rPr>
              <w:t>Brief description of incident</w:t>
            </w:r>
            <w:r w:rsidR="00355328">
              <w:rPr>
                <w:b/>
              </w:rPr>
              <w:t xml:space="preserve"> (including protocol contravened)</w:t>
            </w:r>
          </w:p>
        </w:tc>
        <w:tc>
          <w:tcPr>
            <w:tcW w:w="3525" w:type="dxa"/>
            <w:shd w:val="clear" w:color="auto" w:fill="F2F2F2" w:themeFill="background1" w:themeFillShade="F2"/>
          </w:tcPr>
          <w:p w14:paraId="7C66CE22" w14:textId="77777777" w:rsidR="00867B31" w:rsidRPr="00B34B67" w:rsidRDefault="00867B31">
            <w:pPr>
              <w:rPr>
                <w:b/>
              </w:rPr>
            </w:pPr>
            <w:r w:rsidRPr="00B34B67">
              <w:rPr>
                <w:b/>
              </w:rPr>
              <w:t>Corrective action taken</w:t>
            </w:r>
          </w:p>
        </w:tc>
        <w:tc>
          <w:tcPr>
            <w:tcW w:w="3134" w:type="dxa"/>
            <w:shd w:val="clear" w:color="auto" w:fill="F2F2F2" w:themeFill="background1" w:themeFillShade="F2"/>
          </w:tcPr>
          <w:p w14:paraId="0EFED7C7" w14:textId="77777777" w:rsidR="00867B31" w:rsidRPr="00B34B67" w:rsidRDefault="006F78E0">
            <w:pPr>
              <w:rPr>
                <w:b/>
              </w:rPr>
            </w:pPr>
            <w:r>
              <w:rPr>
                <w:b/>
              </w:rPr>
              <w:t xml:space="preserve">NRTS </w:t>
            </w:r>
            <w:r w:rsidR="00867B31" w:rsidRPr="00B34B67">
              <w:rPr>
                <w:b/>
              </w:rPr>
              <w:t>Preventative advice</w:t>
            </w:r>
          </w:p>
        </w:tc>
      </w:tr>
      <w:tr w:rsidR="00867B31" w14:paraId="6209D027" w14:textId="77777777" w:rsidTr="00063DEC">
        <w:tc>
          <w:tcPr>
            <w:tcW w:w="1190" w:type="dxa"/>
          </w:tcPr>
          <w:p w14:paraId="2073D17A" w14:textId="77777777" w:rsidR="00867B31" w:rsidRPr="00255F75" w:rsidRDefault="00E749F2" w:rsidP="00E749F2">
            <w:pPr>
              <w:tabs>
                <w:tab w:val="right" w:leader="underscore" w:pos="5670"/>
                <w:tab w:val="left" w:pos="6237"/>
              </w:tabs>
              <w:rPr>
                <w:rFonts w:cs="Arial"/>
              </w:rPr>
            </w:pPr>
            <w:r w:rsidRPr="00255F75">
              <w:rPr>
                <w:rFonts w:cs="Arial"/>
              </w:rPr>
              <w:t>20170927</w:t>
            </w:r>
          </w:p>
        </w:tc>
        <w:tc>
          <w:tcPr>
            <w:tcW w:w="1133" w:type="dxa"/>
          </w:tcPr>
          <w:p w14:paraId="163800A0" w14:textId="77777777" w:rsidR="00867B31" w:rsidRPr="00255F75" w:rsidRDefault="00E749F2" w:rsidP="00E749F2">
            <w:pPr>
              <w:tabs>
                <w:tab w:val="right" w:leader="underscore" w:pos="5670"/>
                <w:tab w:val="left" w:pos="6237"/>
              </w:tabs>
              <w:rPr>
                <w:rFonts w:cs="Arial"/>
              </w:rPr>
            </w:pPr>
            <w:r w:rsidRPr="00255F75">
              <w:rPr>
                <w:rFonts w:cs="Arial"/>
              </w:rPr>
              <w:t>1.</w:t>
            </w:r>
          </w:p>
        </w:tc>
        <w:tc>
          <w:tcPr>
            <w:tcW w:w="5047" w:type="dxa"/>
          </w:tcPr>
          <w:p w14:paraId="7D7CC2A7" w14:textId="77777777" w:rsidR="00E749F2" w:rsidRPr="00255F75" w:rsidRDefault="00E749F2" w:rsidP="00E749F2">
            <w:pPr>
              <w:tabs>
                <w:tab w:val="right" w:leader="underscore" w:pos="5670"/>
                <w:tab w:val="left" w:pos="6237"/>
              </w:tabs>
              <w:rPr>
                <w:rFonts w:cs="Arial"/>
              </w:rPr>
            </w:pPr>
            <w:r w:rsidRPr="00255F75">
              <w:rPr>
                <w:rFonts w:cs="Arial"/>
              </w:rPr>
              <w:t>Start date had been altered and had implications for the patient’s eligibility for transplant.</w:t>
            </w:r>
          </w:p>
          <w:p w14:paraId="36447A47" w14:textId="77777777" w:rsidR="00867B31" w:rsidRPr="00255F75" w:rsidRDefault="00867B31" w:rsidP="00E749F2">
            <w:pPr>
              <w:tabs>
                <w:tab w:val="right" w:leader="underscore" w:pos="5670"/>
                <w:tab w:val="left" w:pos="6237"/>
              </w:tabs>
              <w:rPr>
                <w:rFonts w:cs="Arial"/>
              </w:rPr>
            </w:pPr>
          </w:p>
        </w:tc>
        <w:tc>
          <w:tcPr>
            <w:tcW w:w="3525" w:type="dxa"/>
          </w:tcPr>
          <w:p w14:paraId="7C13C823" w14:textId="77777777" w:rsidR="00867B31" w:rsidRPr="00255F75" w:rsidRDefault="00BD3F70" w:rsidP="00E749F2">
            <w:pPr>
              <w:tabs>
                <w:tab w:val="right" w:leader="underscore" w:pos="5670"/>
                <w:tab w:val="left" w:pos="6237"/>
              </w:tabs>
              <w:rPr>
                <w:rFonts w:cs="Arial"/>
              </w:rPr>
            </w:pPr>
            <w:r w:rsidRPr="00255F75">
              <w:rPr>
                <w:rFonts w:cs="Arial"/>
              </w:rPr>
              <w:t>Nil</w:t>
            </w:r>
          </w:p>
        </w:tc>
        <w:tc>
          <w:tcPr>
            <w:tcW w:w="3134" w:type="dxa"/>
          </w:tcPr>
          <w:p w14:paraId="1DF1D875" w14:textId="77777777" w:rsidR="00867B31" w:rsidRPr="00255F75" w:rsidRDefault="0055015D" w:rsidP="00E749F2">
            <w:pPr>
              <w:tabs>
                <w:tab w:val="right" w:leader="underscore" w:pos="5670"/>
                <w:tab w:val="left" w:pos="6237"/>
              </w:tabs>
              <w:rPr>
                <w:rFonts w:cs="Arial"/>
              </w:rPr>
            </w:pPr>
            <w:r w:rsidRPr="00255F75">
              <w:rPr>
                <w:rFonts w:cs="Arial"/>
              </w:rPr>
              <w:t>Monthly report to units with coordinator checking</w:t>
            </w:r>
            <w:r w:rsidR="00092089">
              <w:rPr>
                <w:rFonts w:cs="Arial"/>
              </w:rPr>
              <w:t xml:space="preserve"> has been</w:t>
            </w:r>
            <w:r w:rsidRPr="00255F75">
              <w:rPr>
                <w:rFonts w:cs="Arial"/>
              </w:rPr>
              <w:t xml:space="preserve"> developed</w:t>
            </w:r>
            <w:r w:rsidR="00092089">
              <w:rPr>
                <w:rFonts w:cs="Arial"/>
              </w:rPr>
              <w:t>.</w:t>
            </w:r>
          </w:p>
        </w:tc>
      </w:tr>
      <w:tr w:rsidR="00867B31" w14:paraId="6CE2C5D5" w14:textId="77777777" w:rsidTr="00063DEC">
        <w:tc>
          <w:tcPr>
            <w:tcW w:w="1190" w:type="dxa"/>
          </w:tcPr>
          <w:p w14:paraId="2D83453B" w14:textId="77777777" w:rsidR="00867B31" w:rsidRPr="00255F75" w:rsidRDefault="002465FC" w:rsidP="00255F75">
            <w:pPr>
              <w:tabs>
                <w:tab w:val="right" w:leader="underscore" w:pos="5670"/>
                <w:tab w:val="left" w:pos="6237"/>
              </w:tabs>
              <w:rPr>
                <w:rFonts w:cs="Arial"/>
              </w:rPr>
            </w:pPr>
            <w:r w:rsidRPr="00255F75">
              <w:rPr>
                <w:rFonts w:cs="Arial"/>
              </w:rPr>
              <w:t>20201204</w:t>
            </w:r>
          </w:p>
        </w:tc>
        <w:tc>
          <w:tcPr>
            <w:tcW w:w="1133" w:type="dxa"/>
          </w:tcPr>
          <w:p w14:paraId="2003B2D7" w14:textId="77777777" w:rsidR="00867B31" w:rsidRPr="00255F75" w:rsidRDefault="002465FC" w:rsidP="00255F75">
            <w:pPr>
              <w:tabs>
                <w:tab w:val="right" w:leader="underscore" w:pos="5670"/>
                <w:tab w:val="left" w:pos="6237"/>
              </w:tabs>
              <w:rPr>
                <w:rFonts w:cs="Arial"/>
              </w:rPr>
            </w:pPr>
            <w:r w:rsidRPr="00255F75">
              <w:rPr>
                <w:rFonts w:cs="Arial"/>
              </w:rPr>
              <w:t>2</w:t>
            </w:r>
          </w:p>
        </w:tc>
        <w:tc>
          <w:tcPr>
            <w:tcW w:w="5047" w:type="dxa"/>
          </w:tcPr>
          <w:p w14:paraId="48F0A3BE" w14:textId="77777777" w:rsidR="00867B31" w:rsidRPr="00255F75" w:rsidRDefault="002465FC" w:rsidP="00255F75">
            <w:pPr>
              <w:tabs>
                <w:tab w:val="right" w:leader="underscore" w:pos="5670"/>
                <w:tab w:val="left" w:pos="6237"/>
              </w:tabs>
              <w:rPr>
                <w:rFonts w:cs="Arial"/>
              </w:rPr>
            </w:pPr>
            <w:r w:rsidRPr="00255F75">
              <w:rPr>
                <w:rFonts w:cs="Arial"/>
              </w:rPr>
              <w:t xml:space="preserve">Low level autoantibody ascribed clinical importance without discussion with on call physician in error, leading to non-allocation. </w:t>
            </w:r>
          </w:p>
        </w:tc>
        <w:tc>
          <w:tcPr>
            <w:tcW w:w="3525" w:type="dxa"/>
          </w:tcPr>
          <w:p w14:paraId="52C68E5B" w14:textId="77777777" w:rsidR="00867B31" w:rsidRPr="00255F75" w:rsidRDefault="002465FC" w:rsidP="00255F75">
            <w:pPr>
              <w:tabs>
                <w:tab w:val="right" w:leader="underscore" w:pos="5670"/>
                <w:tab w:val="left" w:pos="6237"/>
              </w:tabs>
              <w:rPr>
                <w:rFonts w:cs="Arial"/>
              </w:rPr>
            </w:pPr>
            <w:r w:rsidRPr="00255F75">
              <w:rPr>
                <w:rFonts w:cs="Arial"/>
              </w:rPr>
              <w:t>Internal process review at NZBS, for further reporting once complete</w:t>
            </w:r>
          </w:p>
        </w:tc>
        <w:tc>
          <w:tcPr>
            <w:tcW w:w="3134" w:type="dxa"/>
          </w:tcPr>
          <w:p w14:paraId="26502D33" w14:textId="77777777" w:rsidR="00867B31" w:rsidRPr="00255F75" w:rsidRDefault="005C0087" w:rsidP="00255F75">
            <w:pPr>
              <w:tabs>
                <w:tab w:val="right" w:leader="underscore" w:pos="5670"/>
                <w:tab w:val="left" w:pos="6237"/>
              </w:tabs>
              <w:rPr>
                <w:rFonts w:cs="Arial"/>
              </w:rPr>
            </w:pPr>
            <w:r w:rsidRPr="00255F75">
              <w:rPr>
                <w:rFonts w:cs="Arial"/>
              </w:rPr>
              <w:t>Report received.</w:t>
            </w:r>
            <w:r w:rsidR="00A124D6">
              <w:rPr>
                <w:rFonts w:cs="Arial"/>
              </w:rPr>
              <w:t xml:space="preserve"> </w:t>
            </w:r>
            <w:r w:rsidRPr="00255F75">
              <w:rPr>
                <w:rFonts w:cs="Arial"/>
              </w:rPr>
              <w:t>Changes in DMRS to eliminate.</w:t>
            </w:r>
          </w:p>
        </w:tc>
      </w:tr>
      <w:tr w:rsidR="00D33772" w14:paraId="67D4CC48" w14:textId="77777777" w:rsidTr="00063DEC">
        <w:tc>
          <w:tcPr>
            <w:tcW w:w="1190" w:type="dxa"/>
          </w:tcPr>
          <w:p w14:paraId="52CC6115" w14:textId="77777777" w:rsidR="00D33772" w:rsidRPr="00255F75" w:rsidRDefault="006F78E0" w:rsidP="00255F75">
            <w:pPr>
              <w:tabs>
                <w:tab w:val="right" w:leader="underscore" w:pos="5670"/>
                <w:tab w:val="left" w:pos="6237"/>
              </w:tabs>
              <w:rPr>
                <w:rFonts w:cs="Arial"/>
              </w:rPr>
            </w:pPr>
            <w:r>
              <w:rPr>
                <w:rFonts w:cs="Arial"/>
              </w:rPr>
              <w:t>20210127</w:t>
            </w:r>
          </w:p>
        </w:tc>
        <w:tc>
          <w:tcPr>
            <w:tcW w:w="1133" w:type="dxa"/>
          </w:tcPr>
          <w:p w14:paraId="05B54144" w14:textId="77777777" w:rsidR="00D33772" w:rsidRPr="00255F75" w:rsidRDefault="00D33772" w:rsidP="00255F75">
            <w:pPr>
              <w:tabs>
                <w:tab w:val="right" w:leader="underscore" w:pos="5670"/>
                <w:tab w:val="left" w:pos="6237"/>
              </w:tabs>
              <w:rPr>
                <w:rFonts w:cs="Arial"/>
              </w:rPr>
            </w:pPr>
            <w:r>
              <w:rPr>
                <w:rFonts w:cs="Arial"/>
              </w:rPr>
              <w:t>3.</w:t>
            </w:r>
          </w:p>
        </w:tc>
        <w:tc>
          <w:tcPr>
            <w:tcW w:w="5047" w:type="dxa"/>
          </w:tcPr>
          <w:p w14:paraId="159590FE" w14:textId="77777777" w:rsidR="00D33772" w:rsidRPr="00255F75" w:rsidRDefault="00AA6950" w:rsidP="00255F75">
            <w:pPr>
              <w:tabs>
                <w:tab w:val="right" w:leader="underscore" w:pos="5670"/>
                <w:tab w:val="left" w:pos="6237"/>
              </w:tabs>
              <w:rPr>
                <w:rFonts w:cs="Arial"/>
              </w:rPr>
            </w:pPr>
            <w:r>
              <w:rPr>
                <w:rFonts w:cs="Arial"/>
              </w:rPr>
              <w:t xml:space="preserve">Decision not to use both </w:t>
            </w:r>
            <w:r w:rsidR="006F78E0">
              <w:rPr>
                <w:rFonts w:cs="Arial"/>
              </w:rPr>
              <w:t xml:space="preserve">DCD </w:t>
            </w:r>
            <w:r>
              <w:rPr>
                <w:rFonts w:cs="Arial"/>
              </w:rPr>
              <w:t>kidneys in Auckland</w:t>
            </w:r>
            <w:r w:rsidR="006F78E0">
              <w:rPr>
                <w:rFonts w:cs="Arial"/>
              </w:rPr>
              <w:t xml:space="preserve"> due to concerns about timely operation in late 2020</w:t>
            </w:r>
            <w:r>
              <w:rPr>
                <w:rFonts w:cs="Arial"/>
              </w:rPr>
              <w:t>.</w:t>
            </w:r>
          </w:p>
        </w:tc>
        <w:tc>
          <w:tcPr>
            <w:tcW w:w="3525" w:type="dxa"/>
          </w:tcPr>
          <w:p w14:paraId="25E81819" w14:textId="77777777" w:rsidR="00D33772" w:rsidRPr="00255F75" w:rsidRDefault="006F78E0" w:rsidP="00255F75">
            <w:pPr>
              <w:tabs>
                <w:tab w:val="right" w:leader="underscore" w:pos="5670"/>
                <w:tab w:val="left" w:pos="6237"/>
              </w:tabs>
              <w:rPr>
                <w:rFonts w:cs="Arial"/>
              </w:rPr>
            </w:pPr>
            <w:r>
              <w:rPr>
                <w:rFonts w:cs="Arial"/>
              </w:rPr>
              <w:t>Nil</w:t>
            </w:r>
          </w:p>
        </w:tc>
        <w:tc>
          <w:tcPr>
            <w:tcW w:w="3134" w:type="dxa"/>
          </w:tcPr>
          <w:p w14:paraId="53F136EC" w14:textId="77777777" w:rsidR="00D33772" w:rsidRPr="00255F75" w:rsidRDefault="006F78E0" w:rsidP="00255F75">
            <w:pPr>
              <w:tabs>
                <w:tab w:val="right" w:leader="underscore" w:pos="5670"/>
                <w:tab w:val="left" w:pos="6237"/>
              </w:tabs>
              <w:rPr>
                <w:rFonts w:cs="Arial"/>
              </w:rPr>
            </w:pPr>
            <w:r>
              <w:rPr>
                <w:rFonts w:cs="Arial"/>
              </w:rPr>
              <w:t>Nil</w:t>
            </w:r>
          </w:p>
        </w:tc>
      </w:tr>
      <w:tr w:rsidR="00867B31" w14:paraId="7E94B1DE" w14:textId="77777777" w:rsidTr="00063DEC">
        <w:tc>
          <w:tcPr>
            <w:tcW w:w="1190" w:type="dxa"/>
          </w:tcPr>
          <w:p w14:paraId="69ADCA1C" w14:textId="77777777" w:rsidR="00867B31" w:rsidRDefault="006F7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20210601</w:t>
            </w:r>
          </w:p>
        </w:tc>
        <w:tc>
          <w:tcPr>
            <w:tcW w:w="1133" w:type="dxa"/>
          </w:tcPr>
          <w:p w14:paraId="4B2F79D9" w14:textId="77777777" w:rsidR="00867B31" w:rsidRDefault="00D337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047" w:type="dxa"/>
          </w:tcPr>
          <w:p w14:paraId="77626653" w14:textId="538ECB40" w:rsidR="00867B31" w:rsidRDefault="00092089" w:rsidP="006F78E0">
            <w:pPr>
              <w:spacing w:line="276" w:lineRule="auto"/>
              <w:rPr>
                <w:sz w:val="24"/>
                <w:szCs w:val="24"/>
              </w:rPr>
            </w:pPr>
            <w:r>
              <w:t>HLA-B27 testing</w:t>
            </w:r>
            <w:r w:rsidR="006F78E0">
              <w:t xml:space="preserve"> undertaken on a patient currently active on deceased donor waiting list leading to </w:t>
            </w:r>
            <w:r>
              <w:t>patient category in the lab database from ‘RENAL’ to ‘B27’</w:t>
            </w:r>
            <w:r w:rsidR="006F78E0">
              <w:t xml:space="preserve"> due to staff unawareness of effects of that change on DRMS</w:t>
            </w:r>
            <w:r>
              <w:t>.</w:t>
            </w:r>
            <w:r w:rsidR="005805FB">
              <w:t xml:space="preserve"> </w:t>
            </w:r>
            <w:r>
              <w:t>Only patients in the ‘RENAL’ category are included in the DRMS algorithm, therefore this patient could no longer be matched to any deceased donors</w:t>
            </w:r>
            <w:r w:rsidR="006F78E0">
              <w:t xml:space="preserve">. Error detected on monthly checking process with coordinators within 3 weeks. Cross checking with allocated kidneys in that period revealed no misallocation due to the error (patient would not have received an offer). </w:t>
            </w:r>
          </w:p>
        </w:tc>
        <w:tc>
          <w:tcPr>
            <w:tcW w:w="3525" w:type="dxa"/>
          </w:tcPr>
          <w:p w14:paraId="14FC7EF5" w14:textId="77777777" w:rsidR="00092089" w:rsidRDefault="00092089" w:rsidP="006F78E0">
            <w:pPr>
              <w:pStyle w:val="xmsonormal"/>
              <w:spacing w:line="276" w:lineRule="auto"/>
            </w:pPr>
            <w:r>
              <w:t>All staff have been reminded not to change the category of any transplant patient without firstly consulting a senior staff member.</w:t>
            </w:r>
          </w:p>
          <w:p w14:paraId="359F39C6" w14:textId="77777777" w:rsidR="006F78E0" w:rsidRDefault="006F78E0" w:rsidP="006F78E0">
            <w:pPr>
              <w:pStyle w:val="xmsonormal"/>
              <w:spacing w:line="276" w:lineRule="auto"/>
            </w:pPr>
          </w:p>
          <w:p w14:paraId="38782052" w14:textId="77777777" w:rsidR="00092089" w:rsidRDefault="00092089" w:rsidP="006F78E0">
            <w:pPr>
              <w:pStyle w:val="xmsonormal"/>
              <w:spacing w:line="276" w:lineRule="auto"/>
            </w:pPr>
            <w:r>
              <w:t xml:space="preserve">An incident has been raised in Q Pulse. </w:t>
            </w:r>
          </w:p>
          <w:p w14:paraId="737CB6E3" w14:textId="77777777" w:rsidR="00867B31" w:rsidRDefault="00867B31">
            <w:pPr>
              <w:rPr>
                <w:sz w:val="24"/>
                <w:szCs w:val="24"/>
              </w:rPr>
            </w:pPr>
          </w:p>
        </w:tc>
        <w:tc>
          <w:tcPr>
            <w:tcW w:w="3134" w:type="dxa"/>
          </w:tcPr>
          <w:p w14:paraId="12811F26" w14:textId="77777777" w:rsidR="00867B31" w:rsidRDefault="006F7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Nil additional.</w:t>
            </w:r>
          </w:p>
        </w:tc>
      </w:tr>
      <w:tr w:rsidR="00063DEC" w14:paraId="361BB9C9" w14:textId="77777777" w:rsidTr="00063DEC">
        <w:tc>
          <w:tcPr>
            <w:tcW w:w="1190" w:type="dxa"/>
          </w:tcPr>
          <w:p w14:paraId="29789347" w14:textId="16508F00" w:rsidR="00063DEC" w:rsidRDefault="00063DEC" w:rsidP="00063D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5805F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505</w:t>
            </w:r>
          </w:p>
        </w:tc>
        <w:tc>
          <w:tcPr>
            <w:tcW w:w="1133" w:type="dxa"/>
          </w:tcPr>
          <w:p w14:paraId="11B6C790" w14:textId="7DEE2A45" w:rsidR="00063DEC" w:rsidRDefault="00063DEC" w:rsidP="00063D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047" w:type="dxa"/>
          </w:tcPr>
          <w:p w14:paraId="2C129EB4" w14:textId="34D887A9" w:rsidR="00063DEC" w:rsidRDefault="00063DEC" w:rsidP="006D2A74">
            <w:pPr>
              <w:spacing w:line="276" w:lineRule="auto"/>
              <w:rPr>
                <w:sz w:val="24"/>
                <w:szCs w:val="24"/>
              </w:rPr>
            </w:pPr>
            <w:r w:rsidRPr="006D2A74">
              <w:t>Violation of rank – rank 8 not offered kidney as had been already transported to a centre where rank 8 was not, and prior allocated recipient found to be medically unsuitable. Cold ischaemic time lengthening, so decision taken to allocate to next available local recipient.</w:t>
            </w:r>
          </w:p>
        </w:tc>
        <w:tc>
          <w:tcPr>
            <w:tcW w:w="3525" w:type="dxa"/>
          </w:tcPr>
          <w:p w14:paraId="615F2C7D" w14:textId="71D93C21" w:rsidR="00063DEC" w:rsidRDefault="00063DEC" w:rsidP="00063D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Nil</w:t>
            </w:r>
          </w:p>
        </w:tc>
        <w:tc>
          <w:tcPr>
            <w:tcW w:w="3134" w:type="dxa"/>
          </w:tcPr>
          <w:p w14:paraId="1B3AB418" w14:textId="35E4A0BF" w:rsidR="00063DEC" w:rsidRDefault="00063DEC" w:rsidP="00063D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Nil </w:t>
            </w:r>
          </w:p>
        </w:tc>
      </w:tr>
      <w:tr w:rsidR="00063DEC" w14:paraId="6009F0E6" w14:textId="77777777" w:rsidTr="00063DEC">
        <w:tc>
          <w:tcPr>
            <w:tcW w:w="1190" w:type="dxa"/>
          </w:tcPr>
          <w:p w14:paraId="60B32F48" w14:textId="1FEC9EA4" w:rsidR="00063DEC" w:rsidRDefault="005805FB" w:rsidP="00063D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20221031</w:t>
            </w:r>
          </w:p>
        </w:tc>
        <w:tc>
          <w:tcPr>
            <w:tcW w:w="1133" w:type="dxa"/>
          </w:tcPr>
          <w:p w14:paraId="5529C023" w14:textId="15E995B7" w:rsidR="00063DEC" w:rsidRDefault="005805FB" w:rsidP="00063D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047" w:type="dxa"/>
          </w:tcPr>
          <w:p w14:paraId="6A29E1D6" w14:textId="77777777" w:rsidR="005805FB" w:rsidRPr="005805FB" w:rsidRDefault="005805FB" w:rsidP="005805FB">
            <w:pPr>
              <w:pStyle w:val="ListParagraph"/>
              <w:numPr>
                <w:ilvl w:val="0"/>
                <w:numId w:val="7"/>
              </w:numPr>
              <w:rPr>
                <w:rFonts w:cs="Arial"/>
              </w:rPr>
            </w:pPr>
            <w:r w:rsidRPr="005805FB">
              <w:rPr>
                <w:rFonts w:cs="Arial"/>
              </w:rPr>
              <w:t xml:space="preserve">Summary of case: Donor O group pancreas was allocated to B group recipient (compatible but not identical), due to no active O patients on pancreas list at that point. Intended approach would be to discard pancreas and allocate kidney only. </w:t>
            </w:r>
          </w:p>
          <w:p w14:paraId="63C9BE75" w14:textId="77777777" w:rsidR="005805FB" w:rsidRPr="005805FB" w:rsidRDefault="005805FB" w:rsidP="005805FB">
            <w:pPr>
              <w:pStyle w:val="ListParagraph"/>
              <w:numPr>
                <w:ilvl w:val="0"/>
                <w:numId w:val="7"/>
              </w:numPr>
              <w:rPr>
                <w:rFonts w:cs="Arial"/>
              </w:rPr>
            </w:pPr>
            <w:r w:rsidRPr="005805FB">
              <w:rPr>
                <w:rFonts w:cs="Arial"/>
              </w:rPr>
              <w:t>Support for current settings confirmed.</w:t>
            </w:r>
          </w:p>
          <w:p w14:paraId="4D9C8809" w14:textId="77777777" w:rsidR="005805FB" w:rsidRPr="005805FB" w:rsidRDefault="005805FB" w:rsidP="005805FB">
            <w:pPr>
              <w:pStyle w:val="ListParagraph"/>
              <w:numPr>
                <w:ilvl w:val="0"/>
                <w:numId w:val="7"/>
              </w:numPr>
              <w:rPr>
                <w:rFonts w:cs="Arial"/>
              </w:rPr>
            </w:pPr>
            <w:r w:rsidRPr="005805FB">
              <w:rPr>
                <w:rFonts w:cs="Arial"/>
              </w:rPr>
              <w:t>Discussion with allocating physician completed within ARTG.</w:t>
            </w:r>
          </w:p>
          <w:p w14:paraId="3DBCD688" w14:textId="4772891E" w:rsidR="00063DEC" w:rsidRDefault="00063DEC" w:rsidP="005805FB">
            <w:pPr>
              <w:rPr>
                <w:sz w:val="24"/>
                <w:szCs w:val="24"/>
              </w:rPr>
            </w:pPr>
          </w:p>
        </w:tc>
        <w:tc>
          <w:tcPr>
            <w:tcW w:w="3525" w:type="dxa"/>
          </w:tcPr>
          <w:p w14:paraId="107EF4C1" w14:textId="02E3CB40" w:rsidR="00063DEC" w:rsidRDefault="006D2A74" w:rsidP="00063D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 at Strategic Group meeting 2 December 2022</w:t>
            </w:r>
          </w:p>
        </w:tc>
        <w:tc>
          <w:tcPr>
            <w:tcW w:w="3134" w:type="dxa"/>
          </w:tcPr>
          <w:p w14:paraId="71803F51" w14:textId="77777777" w:rsidR="00063DEC" w:rsidRDefault="00063DEC" w:rsidP="00063DEC">
            <w:pPr>
              <w:rPr>
                <w:sz w:val="24"/>
                <w:szCs w:val="24"/>
              </w:rPr>
            </w:pPr>
          </w:p>
        </w:tc>
      </w:tr>
      <w:tr w:rsidR="00063DEC" w14:paraId="4ABA1415" w14:textId="77777777" w:rsidTr="00063DEC">
        <w:tc>
          <w:tcPr>
            <w:tcW w:w="1190" w:type="dxa"/>
          </w:tcPr>
          <w:p w14:paraId="786B85BD" w14:textId="77777777" w:rsidR="00063DEC" w:rsidRDefault="00063DEC" w:rsidP="00063DEC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4FF689DD" w14:textId="77777777" w:rsidR="00063DEC" w:rsidRDefault="00063DEC" w:rsidP="00063DEC">
            <w:pPr>
              <w:rPr>
                <w:sz w:val="24"/>
                <w:szCs w:val="24"/>
              </w:rPr>
            </w:pPr>
          </w:p>
        </w:tc>
        <w:tc>
          <w:tcPr>
            <w:tcW w:w="5047" w:type="dxa"/>
          </w:tcPr>
          <w:p w14:paraId="4013B3D5" w14:textId="77777777" w:rsidR="00063DEC" w:rsidRDefault="00063DEC" w:rsidP="00063DEC">
            <w:pPr>
              <w:rPr>
                <w:sz w:val="24"/>
                <w:szCs w:val="24"/>
              </w:rPr>
            </w:pPr>
          </w:p>
        </w:tc>
        <w:tc>
          <w:tcPr>
            <w:tcW w:w="3525" w:type="dxa"/>
          </w:tcPr>
          <w:p w14:paraId="4EE6D655" w14:textId="77777777" w:rsidR="00063DEC" w:rsidRDefault="00063DEC" w:rsidP="00063DEC">
            <w:pPr>
              <w:rPr>
                <w:sz w:val="24"/>
                <w:szCs w:val="24"/>
              </w:rPr>
            </w:pPr>
          </w:p>
        </w:tc>
        <w:tc>
          <w:tcPr>
            <w:tcW w:w="3134" w:type="dxa"/>
          </w:tcPr>
          <w:p w14:paraId="08B9608F" w14:textId="77777777" w:rsidR="00063DEC" w:rsidRDefault="00063DEC" w:rsidP="00063DEC">
            <w:pPr>
              <w:rPr>
                <w:sz w:val="24"/>
                <w:szCs w:val="24"/>
              </w:rPr>
            </w:pPr>
          </w:p>
        </w:tc>
      </w:tr>
    </w:tbl>
    <w:p w14:paraId="5FA14411" w14:textId="77777777" w:rsidR="00867B31" w:rsidRDefault="00867B31">
      <w:pPr>
        <w:rPr>
          <w:sz w:val="24"/>
          <w:szCs w:val="24"/>
        </w:rPr>
      </w:pPr>
    </w:p>
    <w:p w14:paraId="48BD233B" w14:textId="77777777" w:rsidR="008E1326" w:rsidRDefault="008E1326">
      <w:pPr>
        <w:rPr>
          <w:sz w:val="24"/>
          <w:szCs w:val="24"/>
        </w:rPr>
      </w:pPr>
    </w:p>
    <w:p w14:paraId="1AFD6D38" w14:textId="77777777" w:rsidR="008E1326" w:rsidRDefault="008E1326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6"/>
        <w:gridCol w:w="11732"/>
      </w:tblGrid>
      <w:tr w:rsidR="00F43316" w14:paraId="3528669F" w14:textId="77777777" w:rsidTr="00F43316">
        <w:tc>
          <w:tcPr>
            <w:tcW w:w="14174" w:type="dxa"/>
            <w:gridSpan w:val="2"/>
            <w:shd w:val="clear" w:color="auto" w:fill="F2F2F2" w:themeFill="background1" w:themeFillShade="F2"/>
          </w:tcPr>
          <w:p w14:paraId="0753CE92" w14:textId="77777777" w:rsidR="00F43316" w:rsidRPr="00F43316" w:rsidRDefault="00F43316">
            <w:pPr>
              <w:rPr>
                <w:b/>
                <w:sz w:val="24"/>
                <w:szCs w:val="24"/>
              </w:rPr>
            </w:pPr>
            <w:r w:rsidRPr="00F43316">
              <w:rPr>
                <w:b/>
                <w:sz w:val="24"/>
                <w:szCs w:val="24"/>
              </w:rPr>
              <w:t>Version control</w:t>
            </w:r>
          </w:p>
        </w:tc>
      </w:tr>
      <w:tr w:rsidR="00F43316" w14:paraId="427A25A2" w14:textId="77777777" w:rsidTr="00F43316">
        <w:tc>
          <w:tcPr>
            <w:tcW w:w="2235" w:type="dxa"/>
          </w:tcPr>
          <w:p w14:paraId="69F5A259" w14:textId="77777777" w:rsidR="00F43316" w:rsidRDefault="00F433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December 2020</w:t>
            </w:r>
          </w:p>
        </w:tc>
        <w:tc>
          <w:tcPr>
            <w:tcW w:w="11939" w:type="dxa"/>
          </w:tcPr>
          <w:p w14:paraId="0F622034" w14:textId="77777777" w:rsidR="00F43316" w:rsidRDefault="00F433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Incidents 1 &amp; 2 entered</w:t>
            </w:r>
          </w:p>
        </w:tc>
      </w:tr>
      <w:tr w:rsidR="00F43316" w14:paraId="39ADA71B" w14:textId="77777777" w:rsidTr="00F43316">
        <w:tc>
          <w:tcPr>
            <w:tcW w:w="2235" w:type="dxa"/>
          </w:tcPr>
          <w:p w14:paraId="6302A146" w14:textId="77777777" w:rsidR="00147A93" w:rsidRPr="00A124D6" w:rsidRDefault="00F43316" w:rsidP="00A12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January 2021</w:t>
            </w:r>
          </w:p>
        </w:tc>
        <w:tc>
          <w:tcPr>
            <w:tcW w:w="11939" w:type="dxa"/>
          </w:tcPr>
          <w:p w14:paraId="76F1EA12" w14:textId="77777777" w:rsidR="00F43316" w:rsidRDefault="00F433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Incident 3 entered</w:t>
            </w:r>
          </w:p>
        </w:tc>
      </w:tr>
      <w:tr w:rsidR="00F43316" w14:paraId="2265984D" w14:textId="77777777" w:rsidTr="00F43316">
        <w:tc>
          <w:tcPr>
            <w:tcW w:w="2235" w:type="dxa"/>
          </w:tcPr>
          <w:p w14:paraId="55F0864E" w14:textId="77777777" w:rsidR="00F43316" w:rsidRDefault="006F7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 2021</w:t>
            </w:r>
          </w:p>
        </w:tc>
        <w:tc>
          <w:tcPr>
            <w:tcW w:w="11939" w:type="dxa"/>
          </w:tcPr>
          <w:p w14:paraId="075D53D4" w14:textId="77777777" w:rsidR="00F43316" w:rsidRDefault="006F7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Incident 4 entered and incident 3 edited.</w:t>
            </w:r>
          </w:p>
        </w:tc>
      </w:tr>
      <w:tr w:rsidR="00063DEC" w14:paraId="5C5EFCE0" w14:textId="77777777" w:rsidTr="00F43316">
        <w:tc>
          <w:tcPr>
            <w:tcW w:w="2235" w:type="dxa"/>
          </w:tcPr>
          <w:p w14:paraId="7303EEA6" w14:textId="58DFBF97" w:rsidR="00063DEC" w:rsidRDefault="00063D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2022</w:t>
            </w:r>
          </w:p>
        </w:tc>
        <w:tc>
          <w:tcPr>
            <w:tcW w:w="11939" w:type="dxa"/>
          </w:tcPr>
          <w:p w14:paraId="78E74C17" w14:textId="22E47951" w:rsidR="00063DEC" w:rsidRDefault="00063D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Incident 5 entered</w:t>
            </w:r>
          </w:p>
        </w:tc>
      </w:tr>
      <w:tr w:rsidR="005805FB" w14:paraId="5C79FE79" w14:textId="77777777" w:rsidTr="00F43316">
        <w:tc>
          <w:tcPr>
            <w:tcW w:w="2235" w:type="dxa"/>
          </w:tcPr>
          <w:p w14:paraId="4F5816D5" w14:textId="5484710A" w:rsidR="005805FB" w:rsidRDefault="005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October 2022</w:t>
            </w:r>
          </w:p>
        </w:tc>
        <w:tc>
          <w:tcPr>
            <w:tcW w:w="11939" w:type="dxa"/>
          </w:tcPr>
          <w:p w14:paraId="0170B91B" w14:textId="02C02202" w:rsidR="005805FB" w:rsidRDefault="005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Incident 6 entered</w:t>
            </w:r>
          </w:p>
        </w:tc>
      </w:tr>
    </w:tbl>
    <w:p w14:paraId="2E9082DD" w14:textId="77777777" w:rsidR="00F43316" w:rsidRPr="00AE4E08" w:rsidRDefault="00F43316">
      <w:pPr>
        <w:rPr>
          <w:sz w:val="24"/>
          <w:szCs w:val="24"/>
        </w:rPr>
      </w:pPr>
    </w:p>
    <w:sectPr w:rsidR="00F43316" w:rsidRPr="00AE4E08" w:rsidSect="000150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E8CC2" w14:textId="77777777" w:rsidR="00175833" w:rsidRDefault="00175833" w:rsidP="00D73D4C">
      <w:pPr>
        <w:spacing w:after="0" w:line="240" w:lineRule="auto"/>
      </w:pPr>
      <w:r>
        <w:separator/>
      </w:r>
    </w:p>
  </w:endnote>
  <w:endnote w:type="continuationSeparator" w:id="0">
    <w:p w14:paraId="6404302E" w14:textId="77777777" w:rsidR="00175833" w:rsidRDefault="00175833" w:rsidP="00D73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1B4DA" w14:textId="77777777" w:rsidR="00525622" w:rsidRDefault="005256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958"/>
    </w:tblGrid>
    <w:tr w:rsidR="00F4256F" w14:paraId="237C48DB" w14:textId="77777777" w:rsidTr="00F4256F">
      <w:tc>
        <w:tcPr>
          <w:tcW w:w="14174" w:type="dxa"/>
        </w:tcPr>
        <w:p w14:paraId="569EC1C3" w14:textId="1A844BB9" w:rsidR="00F4256F" w:rsidRDefault="00525622" w:rsidP="00F4256F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v</w:t>
          </w:r>
          <w:r w:rsidR="00F4256F" w:rsidRPr="00670F0B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1</w:t>
          </w:r>
          <w:r w:rsidR="00F4256F" w:rsidRPr="00670F0B">
            <w:rPr>
              <w:sz w:val="16"/>
              <w:szCs w:val="16"/>
            </w:rPr>
            <w:t>.0</w:t>
          </w:r>
          <w:r>
            <w:rPr>
              <w:sz w:val="16"/>
              <w:szCs w:val="16"/>
            </w:rPr>
            <w:t>3</w:t>
          </w:r>
          <w:r w:rsidR="00F4256F" w:rsidRPr="00670F0B">
            <w:rPr>
              <w:sz w:val="16"/>
              <w:szCs w:val="16"/>
            </w:rPr>
            <w:t xml:space="preserve"> (20</w:t>
          </w:r>
          <w:r w:rsidR="00F4256F">
            <w:rPr>
              <w:sz w:val="16"/>
              <w:szCs w:val="16"/>
            </w:rPr>
            <w:t>2</w:t>
          </w:r>
          <w:r>
            <w:rPr>
              <w:sz w:val="16"/>
              <w:szCs w:val="16"/>
            </w:rPr>
            <w:t>20527</w:t>
          </w:r>
          <w:r w:rsidR="00F4256F" w:rsidRPr="00670F0B">
            <w:rPr>
              <w:sz w:val="16"/>
              <w:szCs w:val="16"/>
            </w:rPr>
            <w:t>)</w:t>
          </w:r>
        </w:p>
      </w:tc>
    </w:tr>
  </w:tbl>
  <w:p w14:paraId="7203CC6D" w14:textId="77777777" w:rsidR="00F4256F" w:rsidRDefault="00F4256F" w:rsidP="00F4256F">
    <w:pPr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40A45" w14:textId="77777777" w:rsidR="00525622" w:rsidRDefault="005256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761B3" w14:textId="77777777" w:rsidR="00175833" w:rsidRDefault="00175833" w:rsidP="00D73D4C">
      <w:pPr>
        <w:spacing w:after="0" w:line="240" w:lineRule="auto"/>
      </w:pPr>
      <w:r>
        <w:separator/>
      </w:r>
    </w:p>
  </w:footnote>
  <w:footnote w:type="continuationSeparator" w:id="0">
    <w:p w14:paraId="433DAAF9" w14:textId="77777777" w:rsidR="00175833" w:rsidRDefault="00175833" w:rsidP="00D73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8BC8C" w14:textId="77777777" w:rsidR="00525622" w:rsidRDefault="005256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4EEEE" w14:textId="77777777" w:rsidR="00D73D4C" w:rsidRPr="006605EA" w:rsidRDefault="006605EA">
    <w:pPr>
      <w:pStyle w:val="Header"/>
      <w:rPr>
        <w:rFonts w:ascii="MS Reference Sans Serif" w:hAnsi="MS Reference Sans Serif"/>
        <w:b/>
        <w:color w:val="00A9BB"/>
        <w:sz w:val="56"/>
        <w:szCs w:val="56"/>
      </w:rPr>
    </w:pPr>
    <w:r w:rsidRPr="006605EA">
      <w:rPr>
        <w:rFonts w:ascii="MS Reference Sans Serif" w:hAnsi="MS Reference Sans Serif"/>
        <w:b/>
        <w:color w:val="00A9BB"/>
        <w:sz w:val="56"/>
        <w:szCs w:val="56"/>
      </w:rPr>
      <w:t>Allo</w:t>
    </w:r>
    <w:r>
      <w:rPr>
        <w:rFonts w:ascii="MS Reference Sans Serif" w:hAnsi="MS Reference Sans Serif"/>
        <w:b/>
        <w:color w:val="00A9BB"/>
        <w:sz w:val="56"/>
        <w:szCs w:val="56"/>
      </w:rPr>
      <w:t>cation Protocol Issues Register</w:t>
    </w:r>
    <w:r w:rsidR="00D73D4C" w:rsidRPr="006605EA">
      <w:rPr>
        <w:rFonts w:ascii="MS Reference Sans Serif" w:hAnsi="MS Reference Sans Serif"/>
        <w:b/>
        <w:noProof/>
        <w:color w:val="00A9BB"/>
        <w:sz w:val="56"/>
        <w:szCs w:val="56"/>
        <w:lang w:val="en-US"/>
      </w:rPr>
      <w:drawing>
        <wp:anchor distT="0" distB="0" distL="114300" distR="114300" simplePos="0" relativeHeight="251657216" behindDoc="1" locked="0" layoutInCell="1" allowOverlap="1" wp14:anchorId="5FC3C99B" wp14:editId="751A1B8B">
          <wp:simplePos x="0" y="0"/>
          <wp:positionH relativeFrom="column">
            <wp:posOffset>6349365</wp:posOffset>
          </wp:positionH>
          <wp:positionV relativeFrom="paragraph">
            <wp:posOffset>-121920</wp:posOffset>
          </wp:positionV>
          <wp:extent cx="3171825" cy="685800"/>
          <wp:effectExtent l="0" t="0" r="9525" b="0"/>
          <wp:wrapTight wrapText="bothSides">
            <wp:wrapPolygon edited="0">
              <wp:start x="0" y="0"/>
              <wp:lineTo x="0" y="21000"/>
              <wp:lineTo x="21535" y="21000"/>
              <wp:lineTo x="21535" y="0"/>
              <wp:lineTo x="0" y="0"/>
            </wp:wrapPolygon>
          </wp:wrapTight>
          <wp:docPr id="1" name="Picture 1" descr="MOH - Renal Transpla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H - Renal Transplan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18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0BE4C" w14:textId="77777777" w:rsidR="00525622" w:rsidRDefault="005256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A2340"/>
    <w:multiLevelType w:val="hybridMultilevel"/>
    <w:tmpl w:val="558EC1B0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730620"/>
    <w:multiLevelType w:val="hybridMultilevel"/>
    <w:tmpl w:val="5C84BD9C"/>
    <w:lvl w:ilvl="0" w:tplc="0C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824062"/>
    <w:multiLevelType w:val="hybridMultilevel"/>
    <w:tmpl w:val="70086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21944"/>
    <w:multiLevelType w:val="hybridMultilevel"/>
    <w:tmpl w:val="A34299E6"/>
    <w:lvl w:ilvl="0" w:tplc="8F0A1D20">
      <w:start w:val="1"/>
      <w:numFmt w:val="bullet"/>
      <w:pStyle w:val="TB-Table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4A62B8"/>
    <w:multiLevelType w:val="hybridMultilevel"/>
    <w:tmpl w:val="3D24E1B0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2631FF8"/>
    <w:multiLevelType w:val="hybridMultilevel"/>
    <w:tmpl w:val="83FE0DD8"/>
    <w:lvl w:ilvl="0" w:tplc="3ABEEE66">
      <w:start w:val="1"/>
      <w:numFmt w:val="decimal"/>
      <w:lvlText w:val="%1)"/>
      <w:lvlJc w:val="left"/>
      <w:pPr>
        <w:ind w:left="522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242" w:hanging="360"/>
      </w:pPr>
    </w:lvl>
    <w:lvl w:ilvl="2" w:tplc="1409001B" w:tentative="1">
      <w:start w:val="1"/>
      <w:numFmt w:val="lowerRoman"/>
      <w:lvlText w:val="%3."/>
      <w:lvlJc w:val="right"/>
      <w:pPr>
        <w:ind w:left="1962" w:hanging="180"/>
      </w:pPr>
    </w:lvl>
    <w:lvl w:ilvl="3" w:tplc="1409000F" w:tentative="1">
      <w:start w:val="1"/>
      <w:numFmt w:val="decimal"/>
      <w:lvlText w:val="%4."/>
      <w:lvlJc w:val="left"/>
      <w:pPr>
        <w:ind w:left="2682" w:hanging="360"/>
      </w:pPr>
    </w:lvl>
    <w:lvl w:ilvl="4" w:tplc="14090019" w:tentative="1">
      <w:start w:val="1"/>
      <w:numFmt w:val="lowerLetter"/>
      <w:lvlText w:val="%5."/>
      <w:lvlJc w:val="left"/>
      <w:pPr>
        <w:ind w:left="3402" w:hanging="360"/>
      </w:pPr>
    </w:lvl>
    <w:lvl w:ilvl="5" w:tplc="1409001B" w:tentative="1">
      <w:start w:val="1"/>
      <w:numFmt w:val="lowerRoman"/>
      <w:lvlText w:val="%6."/>
      <w:lvlJc w:val="right"/>
      <w:pPr>
        <w:ind w:left="4122" w:hanging="180"/>
      </w:pPr>
    </w:lvl>
    <w:lvl w:ilvl="6" w:tplc="1409000F" w:tentative="1">
      <w:start w:val="1"/>
      <w:numFmt w:val="decimal"/>
      <w:lvlText w:val="%7."/>
      <w:lvlJc w:val="left"/>
      <w:pPr>
        <w:ind w:left="4842" w:hanging="360"/>
      </w:pPr>
    </w:lvl>
    <w:lvl w:ilvl="7" w:tplc="14090019" w:tentative="1">
      <w:start w:val="1"/>
      <w:numFmt w:val="lowerLetter"/>
      <w:lvlText w:val="%8."/>
      <w:lvlJc w:val="left"/>
      <w:pPr>
        <w:ind w:left="5562" w:hanging="360"/>
      </w:pPr>
    </w:lvl>
    <w:lvl w:ilvl="8" w:tplc="1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6" w15:restartNumberingAfterBreak="0">
    <w:nsid w:val="7EBA7BEE"/>
    <w:multiLevelType w:val="hybridMultilevel"/>
    <w:tmpl w:val="39A612A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6431177">
    <w:abstractNumId w:val="3"/>
  </w:num>
  <w:num w:numId="2" w16cid:durableId="1739013170">
    <w:abstractNumId w:val="5"/>
  </w:num>
  <w:num w:numId="3" w16cid:durableId="1612973462">
    <w:abstractNumId w:val="6"/>
  </w:num>
  <w:num w:numId="4" w16cid:durableId="774793043">
    <w:abstractNumId w:val="4"/>
  </w:num>
  <w:num w:numId="5" w16cid:durableId="1014260456">
    <w:abstractNumId w:val="0"/>
  </w:num>
  <w:num w:numId="6" w16cid:durableId="1991249145">
    <w:abstractNumId w:val="2"/>
  </w:num>
  <w:num w:numId="7" w16cid:durableId="8762389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04E"/>
    <w:rsid w:val="0001504E"/>
    <w:rsid w:val="00015F07"/>
    <w:rsid w:val="00063DEC"/>
    <w:rsid w:val="00092089"/>
    <w:rsid w:val="00147A93"/>
    <w:rsid w:val="00175833"/>
    <w:rsid w:val="001E1575"/>
    <w:rsid w:val="001F6E06"/>
    <w:rsid w:val="002465FC"/>
    <w:rsid w:val="00255F75"/>
    <w:rsid w:val="002F729E"/>
    <w:rsid w:val="00331247"/>
    <w:rsid w:val="00355328"/>
    <w:rsid w:val="0036668B"/>
    <w:rsid w:val="003A70FF"/>
    <w:rsid w:val="003B6AD9"/>
    <w:rsid w:val="003E6692"/>
    <w:rsid w:val="00404A9D"/>
    <w:rsid w:val="004E3F34"/>
    <w:rsid w:val="004F33E5"/>
    <w:rsid w:val="00525622"/>
    <w:rsid w:val="00536AB5"/>
    <w:rsid w:val="0054513D"/>
    <w:rsid w:val="0055015D"/>
    <w:rsid w:val="00574127"/>
    <w:rsid w:val="005805FB"/>
    <w:rsid w:val="005C0087"/>
    <w:rsid w:val="00630604"/>
    <w:rsid w:val="006605EA"/>
    <w:rsid w:val="00663A74"/>
    <w:rsid w:val="00670F0B"/>
    <w:rsid w:val="006C43AB"/>
    <w:rsid w:val="006D2A74"/>
    <w:rsid w:val="006D4FFC"/>
    <w:rsid w:val="006F78E0"/>
    <w:rsid w:val="007159DB"/>
    <w:rsid w:val="00787FB2"/>
    <w:rsid w:val="00867B31"/>
    <w:rsid w:val="008D0BC2"/>
    <w:rsid w:val="008E1326"/>
    <w:rsid w:val="009046F7"/>
    <w:rsid w:val="00A124D6"/>
    <w:rsid w:val="00A71DD5"/>
    <w:rsid w:val="00A903D0"/>
    <w:rsid w:val="00AA6950"/>
    <w:rsid w:val="00AB0F34"/>
    <w:rsid w:val="00AE4E08"/>
    <w:rsid w:val="00B34B67"/>
    <w:rsid w:val="00B676EE"/>
    <w:rsid w:val="00BD3F70"/>
    <w:rsid w:val="00C072DA"/>
    <w:rsid w:val="00C43DFF"/>
    <w:rsid w:val="00C962F8"/>
    <w:rsid w:val="00CF76D6"/>
    <w:rsid w:val="00D33772"/>
    <w:rsid w:val="00D73D4C"/>
    <w:rsid w:val="00D83B80"/>
    <w:rsid w:val="00D87476"/>
    <w:rsid w:val="00E362B6"/>
    <w:rsid w:val="00E749F2"/>
    <w:rsid w:val="00F26A5B"/>
    <w:rsid w:val="00F4256F"/>
    <w:rsid w:val="00F43316"/>
    <w:rsid w:val="00F71305"/>
    <w:rsid w:val="00FA5C29"/>
    <w:rsid w:val="00FB64F4"/>
    <w:rsid w:val="00FD36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0A965C"/>
  <w15:docId w15:val="{E5330F27-ECC6-416E-AE0E-B3F4A9E48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7476"/>
  </w:style>
  <w:style w:type="paragraph" w:styleId="Heading1">
    <w:name w:val="heading 1"/>
    <w:aliases w:val="H1-Sec.Head"/>
    <w:basedOn w:val="Normal"/>
    <w:next w:val="Normal"/>
    <w:link w:val="Heading1Char"/>
    <w:qFormat/>
    <w:rsid w:val="003B6AD9"/>
    <w:pPr>
      <w:keepNext/>
      <w:tabs>
        <w:tab w:val="left" w:pos="1152"/>
      </w:tabs>
      <w:spacing w:after="360" w:line="360" w:lineRule="atLeast"/>
      <w:ind w:left="1152" w:hanging="1152"/>
      <w:jc w:val="center"/>
      <w:outlineLvl w:val="0"/>
    </w:pPr>
    <w:rPr>
      <w:rFonts w:eastAsia="Times New Roman" w:cs="Times New Roman"/>
      <w:b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-Sec.Head Char"/>
    <w:basedOn w:val="DefaultParagraphFont"/>
    <w:link w:val="Heading1"/>
    <w:rsid w:val="003B6AD9"/>
    <w:rPr>
      <w:rFonts w:eastAsia="Times New Roman" w:cs="Times New Roman"/>
      <w:b/>
      <w:sz w:val="28"/>
      <w:szCs w:val="20"/>
      <w:lang w:val="en-US"/>
    </w:rPr>
  </w:style>
  <w:style w:type="paragraph" w:customStyle="1" w:styleId="TRH-TableRowHeading">
    <w:name w:val="TRH-Table Row Heading"/>
    <w:basedOn w:val="Normal"/>
    <w:rsid w:val="003B6AD9"/>
    <w:pPr>
      <w:spacing w:after="0" w:line="240" w:lineRule="atLeast"/>
      <w:jc w:val="right"/>
    </w:pPr>
    <w:rPr>
      <w:rFonts w:eastAsia="Times New Roman" w:cs="Times New Roman"/>
      <w:b/>
      <w:szCs w:val="28"/>
      <w:lang w:val="en-US"/>
    </w:rPr>
  </w:style>
  <w:style w:type="paragraph" w:customStyle="1" w:styleId="TX-TableText">
    <w:name w:val="TX-Table Text"/>
    <w:basedOn w:val="Normal"/>
    <w:rsid w:val="003B6AD9"/>
    <w:pPr>
      <w:spacing w:after="120" w:line="240" w:lineRule="atLeast"/>
      <w:ind w:left="162"/>
    </w:pPr>
    <w:rPr>
      <w:rFonts w:eastAsia="Times New Roman" w:cs="Times New Roman"/>
      <w:szCs w:val="20"/>
      <w:lang w:val="en-US"/>
    </w:rPr>
  </w:style>
  <w:style w:type="paragraph" w:customStyle="1" w:styleId="TB-TableBullets">
    <w:name w:val="TB-Table Bullets"/>
    <w:basedOn w:val="TX-TableText"/>
    <w:qFormat/>
    <w:rsid w:val="003B6AD9"/>
    <w:pPr>
      <w:numPr>
        <w:numId w:val="1"/>
      </w:numPr>
      <w:ind w:left="432" w:hanging="288"/>
    </w:pPr>
  </w:style>
  <w:style w:type="table" w:styleId="TableGrid">
    <w:name w:val="Table Grid"/>
    <w:basedOn w:val="TableNormal"/>
    <w:uiPriority w:val="39"/>
    <w:rsid w:val="00867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73D4C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73D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D4C"/>
  </w:style>
  <w:style w:type="paragraph" w:styleId="Footer">
    <w:name w:val="footer"/>
    <w:basedOn w:val="Normal"/>
    <w:link w:val="FooterChar"/>
    <w:uiPriority w:val="99"/>
    <w:unhideWhenUsed/>
    <w:rsid w:val="00D73D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D4C"/>
  </w:style>
  <w:style w:type="paragraph" w:styleId="BalloonText">
    <w:name w:val="Balloon Text"/>
    <w:basedOn w:val="Normal"/>
    <w:link w:val="BalloonTextChar"/>
    <w:uiPriority w:val="99"/>
    <w:semiHidden/>
    <w:unhideWhenUsed/>
    <w:rsid w:val="00FD36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6A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92089"/>
    <w:pPr>
      <w:ind w:left="720"/>
      <w:contextualSpacing/>
    </w:pPr>
  </w:style>
  <w:style w:type="paragraph" w:customStyle="1" w:styleId="xmsonormal">
    <w:name w:val="x_msonormal"/>
    <w:basedOn w:val="Normal"/>
    <w:rsid w:val="00092089"/>
    <w:pPr>
      <w:spacing w:after="0" w:line="240" w:lineRule="auto"/>
    </w:pPr>
    <w:rPr>
      <w:rFonts w:ascii="Calibri" w:eastAsia="Times New Roman" w:hAnsi="Calibri" w:cs="Times New Roman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CDHB</Company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Colette Meehan</dc:creator>
  <cp:keywords/>
  <dc:description/>
  <cp:lastModifiedBy>Colette Meehan</cp:lastModifiedBy>
  <cp:revision>6</cp:revision>
  <dcterms:created xsi:type="dcterms:W3CDTF">2022-05-25T05:24:00Z</dcterms:created>
  <dcterms:modified xsi:type="dcterms:W3CDTF">2022-10-31T00:33:00Z</dcterms:modified>
</cp:coreProperties>
</file>