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8E58" w14:textId="7249CD14" w:rsidR="0004002B" w:rsidRPr="00ED5C07" w:rsidRDefault="00EC2D70" w:rsidP="00C96B9E">
      <w:pPr>
        <w:pStyle w:val="Heading1"/>
        <w:rPr>
          <w:rFonts w:ascii="Arial" w:hAnsi="Arial" w:cs="Arial"/>
        </w:rPr>
      </w:pPr>
      <w:r>
        <w:rPr>
          <w:rFonts w:ascii="Arial" w:hAnsi="Arial" w:cs="Arial"/>
        </w:rPr>
        <w:t>Seismic Policy</w:t>
      </w:r>
    </w:p>
    <w:p w14:paraId="723F89ED" w14:textId="77777777" w:rsidR="002D1511" w:rsidRPr="00ED5C07" w:rsidRDefault="084D57BA" w:rsidP="00205EDD">
      <w:pPr>
        <w:autoSpaceDE w:val="0"/>
        <w:autoSpaceDN w:val="0"/>
        <w:adjustRightInd w:val="0"/>
        <w:spacing w:after="0" w:line="240" w:lineRule="auto"/>
        <w:rPr>
          <w:rFonts w:ascii="Arial" w:hAnsi="Arial" w:cs="Arial"/>
          <w:i/>
          <w:iCs/>
          <w:color w:val="000000" w:themeColor="text1"/>
        </w:rPr>
      </w:pPr>
      <w:proofErr w:type="spellStart"/>
      <w:r w:rsidRPr="00ED5C07">
        <w:rPr>
          <w:rFonts w:ascii="Arial" w:hAnsi="Arial" w:cs="Arial"/>
          <w:i/>
          <w:iCs/>
          <w:color w:val="000000" w:themeColor="text1"/>
        </w:rPr>
        <w:t>Mā</w:t>
      </w:r>
      <w:proofErr w:type="spellEnd"/>
      <w:r w:rsidRPr="00ED5C07">
        <w:rPr>
          <w:rFonts w:ascii="Arial" w:hAnsi="Arial" w:cs="Arial"/>
          <w:i/>
          <w:iCs/>
          <w:color w:val="000000" w:themeColor="text1"/>
        </w:rPr>
        <w:t xml:space="preserve"> </w:t>
      </w:r>
      <w:proofErr w:type="spellStart"/>
      <w:r w:rsidRPr="00ED5C07">
        <w:rPr>
          <w:rFonts w:ascii="Arial" w:hAnsi="Arial" w:cs="Arial"/>
          <w:i/>
          <w:iCs/>
          <w:color w:val="000000" w:themeColor="text1"/>
        </w:rPr>
        <w:t>te</w:t>
      </w:r>
      <w:proofErr w:type="spellEnd"/>
      <w:r w:rsidRPr="00ED5C07">
        <w:rPr>
          <w:rFonts w:ascii="Arial" w:hAnsi="Arial" w:cs="Arial"/>
          <w:i/>
          <w:iCs/>
          <w:color w:val="000000" w:themeColor="text1"/>
        </w:rPr>
        <w:t xml:space="preserve"> </w:t>
      </w:r>
      <w:proofErr w:type="spellStart"/>
      <w:r w:rsidRPr="00ED5C07">
        <w:rPr>
          <w:rFonts w:ascii="Arial" w:hAnsi="Arial" w:cs="Arial"/>
          <w:i/>
          <w:iCs/>
          <w:color w:val="000000" w:themeColor="text1"/>
        </w:rPr>
        <w:t>kimi</w:t>
      </w:r>
      <w:proofErr w:type="spellEnd"/>
      <w:r w:rsidRPr="00ED5C07">
        <w:rPr>
          <w:rFonts w:ascii="Arial" w:hAnsi="Arial" w:cs="Arial"/>
          <w:i/>
          <w:iCs/>
          <w:color w:val="000000" w:themeColor="text1"/>
        </w:rPr>
        <w:t xml:space="preserve"> ka kite, </w:t>
      </w:r>
      <w:proofErr w:type="spellStart"/>
      <w:r w:rsidRPr="00ED5C07">
        <w:rPr>
          <w:rFonts w:ascii="Arial" w:hAnsi="Arial" w:cs="Arial"/>
          <w:i/>
          <w:iCs/>
          <w:color w:val="000000" w:themeColor="text1"/>
        </w:rPr>
        <w:t>Mā</w:t>
      </w:r>
      <w:proofErr w:type="spellEnd"/>
      <w:r w:rsidRPr="00ED5C07">
        <w:rPr>
          <w:rFonts w:ascii="Arial" w:hAnsi="Arial" w:cs="Arial"/>
          <w:i/>
          <w:iCs/>
          <w:color w:val="000000" w:themeColor="text1"/>
        </w:rPr>
        <w:t xml:space="preserve"> </w:t>
      </w:r>
      <w:proofErr w:type="spellStart"/>
      <w:r w:rsidRPr="00ED5C07">
        <w:rPr>
          <w:rFonts w:ascii="Arial" w:hAnsi="Arial" w:cs="Arial"/>
          <w:i/>
          <w:iCs/>
          <w:color w:val="000000" w:themeColor="text1"/>
        </w:rPr>
        <w:t>te</w:t>
      </w:r>
      <w:proofErr w:type="spellEnd"/>
      <w:r w:rsidRPr="00ED5C07">
        <w:rPr>
          <w:rFonts w:ascii="Arial" w:hAnsi="Arial" w:cs="Arial"/>
          <w:i/>
          <w:iCs/>
          <w:color w:val="000000" w:themeColor="text1"/>
        </w:rPr>
        <w:t xml:space="preserve"> kite ka </w:t>
      </w:r>
      <w:proofErr w:type="spellStart"/>
      <w:r w:rsidRPr="00ED5C07">
        <w:rPr>
          <w:rFonts w:ascii="Arial" w:hAnsi="Arial" w:cs="Arial"/>
          <w:i/>
          <w:iCs/>
          <w:color w:val="000000" w:themeColor="text1"/>
        </w:rPr>
        <w:t>mōhio</w:t>
      </w:r>
      <w:proofErr w:type="spellEnd"/>
      <w:r w:rsidRPr="00ED5C07">
        <w:rPr>
          <w:rFonts w:ascii="Arial" w:hAnsi="Arial" w:cs="Arial"/>
          <w:i/>
          <w:iCs/>
          <w:color w:val="000000" w:themeColor="text1"/>
        </w:rPr>
        <w:t xml:space="preserve">, </w:t>
      </w:r>
      <w:proofErr w:type="spellStart"/>
      <w:r w:rsidRPr="00ED5C07">
        <w:rPr>
          <w:rFonts w:ascii="Arial" w:hAnsi="Arial" w:cs="Arial"/>
          <w:i/>
          <w:iCs/>
          <w:color w:val="000000" w:themeColor="text1"/>
        </w:rPr>
        <w:t>Mā</w:t>
      </w:r>
      <w:proofErr w:type="spellEnd"/>
      <w:r w:rsidRPr="00ED5C07">
        <w:rPr>
          <w:rFonts w:ascii="Arial" w:hAnsi="Arial" w:cs="Arial"/>
          <w:i/>
          <w:iCs/>
          <w:color w:val="000000" w:themeColor="text1"/>
        </w:rPr>
        <w:t xml:space="preserve"> </w:t>
      </w:r>
      <w:proofErr w:type="spellStart"/>
      <w:r w:rsidRPr="00ED5C07">
        <w:rPr>
          <w:rFonts w:ascii="Arial" w:hAnsi="Arial" w:cs="Arial"/>
          <w:i/>
          <w:iCs/>
          <w:color w:val="000000" w:themeColor="text1"/>
        </w:rPr>
        <w:t>te</w:t>
      </w:r>
      <w:proofErr w:type="spellEnd"/>
      <w:r w:rsidRPr="00ED5C07">
        <w:rPr>
          <w:rFonts w:ascii="Arial" w:hAnsi="Arial" w:cs="Arial"/>
          <w:i/>
          <w:iCs/>
          <w:color w:val="000000" w:themeColor="text1"/>
        </w:rPr>
        <w:t xml:space="preserve"> </w:t>
      </w:r>
      <w:proofErr w:type="spellStart"/>
      <w:r w:rsidRPr="00ED5C07">
        <w:rPr>
          <w:rFonts w:ascii="Arial" w:hAnsi="Arial" w:cs="Arial"/>
          <w:i/>
          <w:iCs/>
          <w:color w:val="000000" w:themeColor="text1"/>
        </w:rPr>
        <w:t>mōhio</w:t>
      </w:r>
      <w:proofErr w:type="spellEnd"/>
      <w:r w:rsidRPr="00ED5C07">
        <w:rPr>
          <w:rFonts w:ascii="Arial" w:hAnsi="Arial" w:cs="Arial"/>
          <w:i/>
          <w:iCs/>
          <w:color w:val="000000" w:themeColor="text1"/>
        </w:rPr>
        <w:t xml:space="preserve"> ka </w:t>
      </w:r>
      <w:proofErr w:type="spellStart"/>
      <w:r w:rsidRPr="00ED5C07">
        <w:rPr>
          <w:rFonts w:ascii="Arial" w:hAnsi="Arial" w:cs="Arial"/>
          <w:i/>
          <w:iCs/>
          <w:color w:val="000000" w:themeColor="text1"/>
        </w:rPr>
        <w:t>mārama</w:t>
      </w:r>
      <w:proofErr w:type="spellEnd"/>
      <w:r w:rsidRPr="00ED5C07">
        <w:rPr>
          <w:rFonts w:ascii="Arial" w:hAnsi="Arial" w:cs="Arial"/>
          <w:i/>
          <w:iCs/>
          <w:color w:val="000000" w:themeColor="text1"/>
        </w:rPr>
        <w:t>.</w:t>
      </w:r>
      <w:r w:rsidRPr="00ED5C07">
        <w:rPr>
          <w:rFonts w:ascii="Arial" w:hAnsi="Arial" w:cs="Arial"/>
          <w:i/>
          <w:iCs/>
          <w:color w:val="000000" w:themeColor="text1"/>
        </w:rPr>
        <w:br/>
        <w:t>Seek and discover. Discover and know. Know and become enlightened.</w:t>
      </w:r>
    </w:p>
    <w:p w14:paraId="0A9B3FA3" w14:textId="77777777" w:rsidR="0004002B" w:rsidRPr="00ED5C07" w:rsidRDefault="0004002B" w:rsidP="00C96B9E">
      <w:pPr>
        <w:pStyle w:val="Heading2"/>
        <w:rPr>
          <w:rFonts w:ascii="Arial" w:hAnsi="Arial" w:cs="Arial"/>
          <w:sz w:val="32"/>
          <w:szCs w:val="32"/>
        </w:rPr>
      </w:pPr>
      <w:r w:rsidRPr="00ED5C07">
        <w:rPr>
          <w:rFonts w:ascii="Arial" w:hAnsi="Arial" w:cs="Arial"/>
          <w:sz w:val="32"/>
          <w:szCs w:val="32"/>
        </w:rPr>
        <w:t>Purpose</w:t>
      </w:r>
    </w:p>
    <w:p w14:paraId="54751F51" w14:textId="65BDE3EC" w:rsidR="00781CD5" w:rsidRDefault="0004002B" w:rsidP="00075CCC">
      <w:pPr>
        <w:pStyle w:val="ListParagraph"/>
        <w:numPr>
          <w:ilvl w:val="0"/>
          <w:numId w:val="1"/>
        </w:numPr>
        <w:autoSpaceDE w:val="0"/>
        <w:autoSpaceDN w:val="0"/>
        <w:adjustRightInd w:val="0"/>
        <w:spacing w:line="240" w:lineRule="auto"/>
        <w:ind w:left="425" w:hanging="425"/>
        <w:rPr>
          <w:rFonts w:ascii="Arial" w:hAnsi="Arial" w:cs="Arial"/>
          <w:color w:val="000000" w:themeColor="text1"/>
        </w:rPr>
      </w:pPr>
      <w:r w:rsidRPr="009420FC">
        <w:rPr>
          <w:rFonts w:ascii="Arial" w:hAnsi="Arial" w:cs="Arial"/>
          <w:color w:val="000000" w:themeColor="text1"/>
        </w:rPr>
        <w:t xml:space="preserve">This </w:t>
      </w:r>
      <w:r w:rsidR="00EC2D70" w:rsidRPr="009420FC">
        <w:rPr>
          <w:rFonts w:ascii="Arial" w:hAnsi="Arial" w:cs="Arial"/>
          <w:color w:val="000000" w:themeColor="text1"/>
        </w:rPr>
        <w:t>Seismic</w:t>
      </w:r>
      <w:r w:rsidRPr="009420FC">
        <w:rPr>
          <w:rFonts w:ascii="Arial" w:hAnsi="Arial" w:cs="Arial"/>
          <w:color w:val="000000" w:themeColor="text1"/>
        </w:rPr>
        <w:t xml:space="preserve"> Policy describes how </w:t>
      </w:r>
      <w:r w:rsidR="00CE5BA1" w:rsidRPr="009420FC">
        <w:rPr>
          <w:rFonts w:ascii="Arial" w:hAnsi="Arial" w:cs="Arial"/>
          <w:color w:val="000000" w:themeColor="text1"/>
        </w:rPr>
        <w:t xml:space="preserve">Te </w:t>
      </w:r>
      <w:proofErr w:type="spellStart"/>
      <w:r w:rsidR="00CE5BA1" w:rsidRPr="009420FC">
        <w:rPr>
          <w:rFonts w:ascii="Arial" w:hAnsi="Arial" w:cs="Arial"/>
          <w:color w:val="000000" w:themeColor="text1"/>
        </w:rPr>
        <w:t>Whatu</w:t>
      </w:r>
      <w:proofErr w:type="spellEnd"/>
      <w:r w:rsidR="00CE5BA1" w:rsidRPr="009420FC">
        <w:rPr>
          <w:rFonts w:ascii="Arial" w:hAnsi="Arial" w:cs="Arial"/>
          <w:color w:val="000000" w:themeColor="text1"/>
        </w:rPr>
        <w:t xml:space="preserve"> Ora </w:t>
      </w:r>
      <w:r w:rsidR="0083459B" w:rsidRPr="009420FC">
        <w:rPr>
          <w:rFonts w:ascii="Arial" w:hAnsi="Arial" w:cs="Arial"/>
          <w:color w:val="000000" w:themeColor="text1"/>
        </w:rPr>
        <w:t xml:space="preserve">| </w:t>
      </w:r>
      <w:r w:rsidRPr="009420FC">
        <w:rPr>
          <w:rFonts w:ascii="Arial" w:hAnsi="Arial" w:cs="Arial"/>
          <w:color w:val="000000" w:themeColor="text1"/>
        </w:rPr>
        <w:t>Health N</w:t>
      </w:r>
      <w:r w:rsidR="00F55E30" w:rsidRPr="009420FC">
        <w:rPr>
          <w:rFonts w:ascii="Arial" w:hAnsi="Arial" w:cs="Arial"/>
          <w:color w:val="000000" w:themeColor="text1"/>
        </w:rPr>
        <w:t xml:space="preserve">ew </w:t>
      </w:r>
      <w:r w:rsidRPr="009420FC">
        <w:rPr>
          <w:rFonts w:ascii="Arial" w:hAnsi="Arial" w:cs="Arial"/>
          <w:color w:val="000000" w:themeColor="text1"/>
        </w:rPr>
        <w:t>Z</w:t>
      </w:r>
      <w:r w:rsidR="00F55E30" w:rsidRPr="009420FC">
        <w:rPr>
          <w:rFonts w:ascii="Arial" w:hAnsi="Arial" w:cs="Arial"/>
          <w:color w:val="000000" w:themeColor="text1"/>
        </w:rPr>
        <w:t>ealand</w:t>
      </w:r>
      <w:r w:rsidRPr="009420FC">
        <w:rPr>
          <w:rFonts w:ascii="Arial" w:hAnsi="Arial" w:cs="Arial"/>
          <w:color w:val="000000" w:themeColor="text1"/>
        </w:rPr>
        <w:t xml:space="preserve"> </w:t>
      </w:r>
      <w:r w:rsidR="003362F7" w:rsidRPr="009420FC">
        <w:rPr>
          <w:rFonts w:ascii="Arial" w:hAnsi="Arial" w:cs="Arial"/>
          <w:color w:val="000000" w:themeColor="text1"/>
        </w:rPr>
        <w:t>(</w:t>
      </w:r>
      <w:r w:rsidR="0083459B" w:rsidRPr="009420FC">
        <w:rPr>
          <w:rFonts w:ascii="Arial" w:hAnsi="Arial" w:cs="Arial"/>
          <w:color w:val="000000" w:themeColor="text1"/>
        </w:rPr>
        <w:t xml:space="preserve">Te </w:t>
      </w:r>
      <w:proofErr w:type="spellStart"/>
      <w:r w:rsidR="0083459B" w:rsidRPr="009420FC">
        <w:rPr>
          <w:rFonts w:ascii="Arial" w:hAnsi="Arial" w:cs="Arial"/>
          <w:color w:val="000000" w:themeColor="text1"/>
        </w:rPr>
        <w:t>Whatu</w:t>
      </w:r>
      <w:proofErr w:type="spellEnd"/>
      <w:r w:rsidR="0083459B" w:rsidRPr="009420FC">
        <w:rPr>
          <w:rFonts w:ascii="Arial" w:hAnsi="Arial" w:cs="Arial"/>
          <w:color w:val="000000" w:themeColor="text1"/>
        </w:rPr>
        <w:t xml:space="preserve"> Ora</w:t>
      </w:r>
      <w:r w:rsidR="003362F7" w:rsidRPr="009420FC">
        <w:rPr>
          <w:rFonts w:ascii="Arial" w:hAnsi="Arial" w:cs="Arial"/>
          <w:color w:val="000000" w:themeColor="text1"/>
        </w:rPr>
        <w:t xml:space="preserve">) </w:t>
      </w:r>
      <w:r w:rsidRPr="009420FC">
        <w:rPr>
          <w:rFonts w:ascii="Arial" w:hAnsi="Arial" w:cs="Arial"/>
          <w:color w:val="000000" w:themeColor="text1"/>
        </w:rPr>
        <w:t>will</w:t>
      </w:r>
      <w:r w:rsidR="009420FC" w:rsidRPr="009420FC">
        <w:rPr>
          <w:rFonts w:ascii="Arial" w:hAnsi="Arial" w:cs="Arial"/>
          <w:color w:val="000000" w:themeColor="text1"/>
        </w:rPr>
        <w:t xml:space="preserve"> </w:t>
      </w:r>
      <w:r w:rsidR="00785549">
        <w:rPr>
          <w:rFonts w:ascii="Arial" w:hAnsi="Arial" w:cs="Arial"/>
          <w:color w:val="000000" w:themeColor="text1"/>
        </w:rPr>
        <w:t>e</w:t>
      </w:r>
      <w:r w:rsidR="00781CD5" w:rsidRPr="009420FC">
        <w:rPr>
          <w:rFonts w:ascii="Arial" w:hAnsi="Arial" w:cs="Arial"/>
          <w:color w:val="000000" w:themeColor="text1"/>
        </w:rPr>
        <w:t xml:space="preserve">nable a more consistent and effective treatment of seismic risk across buildings that Te </w:t>
      </w:r>
      <w:proofErr w:type="spellStart"/>
      <w:r w:rsidR="00781CD5" w:rsidRPr="009420FC">
        <w:rPr>
          <w:rFonts w:ascii="Arial" w:hAnsi="Arial" w:cs="Arial"/>
          <w:color w:val="000000" w:themeColor="text1"/>
        </w:rPr>
        <w:t>Whatu</w:t>
      </w:r>
      <w:proofErr w:type="spellEnd"/>
      <w:r w:rsidR="00781CD5" w:rsidRPr="009420FC">
        <w:rPr>
          <w:rFonts w:ascii="Arial" w:hAnsi="Arial" w:cs="Arial"/>
          <w:color w:val="000000" w:themeColor="text1"/>
        </w:rPr>
        <w:t xml:space="preserve"> Ora own</w:t>
      </w:r>
      <w:r w:rsidR="00396036">
        <w:rPr>
          <w:rFonts w:ascii="Arial" w:hAnsi="Arial" w:cs="Arial"/>
          <w:color w:val="000000" w:themeColor="text1"/>
        </w:rPr>
        <w:t xml:space="preserve">, </w:t>
      </w:r>
      <w:r w:rsidR="00781CD5" w:rsidRPr="009420FC">
        <w:rPr>
          <w:rFonts w:ascii="Arial" w:hAnsi="Arial" w:cs="Arial"/>
          <w:color w:val="000000" w:themeColor="text1"/>
        </w:rPr>
        <w:t>occupy</w:t>
      </w:r>
      <w:r w:rsidR="00396036">
        <w:rPr>
          <w:rFonts w:ascii="Arial" w:hAnsi="Arial" w:cs="Arial"/>
          <w:color w:val="000000" w:themeColor="text1"/>
        </w:rPr>
        <w:t>, lease</w:t>
      </w:r>
      <w:r w:rsidR="00371E6F">
        <w:rPr>
          <w:rFonts w:ascii="Arial" w:hAnsi="Arial" w:cs="Arial"/>
          <w:color w:val="000000" w:themeColor="text1"/>
        </w:rPr>
        <w:t>, rent</w:t>
      </w:r>
      <w:r w:rsidR="00396036">
        <w:rPr>
          <w:rFonts w:ascii="Arial" w:hAnsi="Arial" w:cs="Arial"/>
          <w:color w:val="000000" w:themeColor="text1"/>
        </w:rPr>
        <w:t xml:space="preserve"> </w:t>
      </w:r>
      <w:r w:rsidR="00781CD5" w:rsidRPr="009420FC">
        <w:rPr>
          <w:rFonts w:ascii="Arial" w:hAnsi="Arial" w:cs="Arial"/>
          <w:color w:val="000000" w:themeColor="text1"/>
        </w:rPr>
        <w:t>or are responsible for</w:t>
      </w:r>
      <w:r w:rsidR="00926DA5">
        <w:rPr>
          <w:rFonts w:ascii="Arial" w:hAnsi="Arial" w:cs="Arial"/>
          <w:color w:val="000000" w:themeColor="text1"/>
        </w:rPr>
        <w:t>.</w:t>
      </w:r>
    </w:p>
    <w:p w14:paraId="2DD77B9A" w14:textId="77777777" w:rsidR="000202BE" w:rsidRDefault="000202BE" w:rsidP="00107AAF">
      <w:pPr>
        <w:pStyle w:val="ListParagraph"/>
        <w:autoSpaceDE w:val="0"/>
        <w:autoSpaceDN w:val="0"/>
        <w:adjustRightInd w:val="0"/>
        <w:spacing w:line="240" w:lineRule="auto"/>
        <w:ind w:left="425"/>
        <w:rPr>
          <w:rFonts w:ascii="Arial" w:hAnsi="Arial" w:cs="Arial"/>
          <w:color w:val="000000" w:themeColor="text1"/>
        </w:rPr>
      </w:pPr>
    </w:p>
    <w:p w14:paraId="46FB173F" w14:textId="77777777" w:rsidR="00763FAF" w:rsidRPr="003703BB" w:rsidRDefault="00763FAF" w:rsidP="00763FAF">
      <w:pPr>
        <w:pStyle w:val="ListParagraph"/>
        <w:numPr>
          <w:ilvl w:val="0"/>
          <w:numId w:val="1"/>
        </w:numPr>
        <w:autoSpaceDE w:val="0"/>
        <w:autoSpaceDN w:val="0"/>
        <w:adjustRightInd w:val="0"/>
        <w:spacing w:line="240" w:lineRule="auto"/>
        <w:ind w:left="425" w:hanging="425"/>
      </w:pPr>
      <w:r w:rsidRPr="00E94DEB">
        <w:rPr>
          <w:rFonts w:ascii="Arial" w:hAnsi="Arial" w:cs="Arial"/>
          <w:color w:val="000000" w:themeColor="text1"/>
        </w:rPr>
        <w:t xml:space="preserve">The primary focus of this policy is to provide Te </w:t>
      </w:r>
      <w:proofErr w:type="spellStart"/>
      <w:r w:rsidRPr="00E94DEB">
        <w:rPr>
          <w:rFonts w:ascii="Arial" w:hAnsi="Arial" w:cs="Arial"/>
          <w:color w:val="000000" w:themeColor="text1"/>
        </w:rPr>
        <w:t>Whatu</w:t>
      </w:r>
      <w:proofErr w:type="spellEnd"/>
      <w:r w:rsidRPr="00E94DEB">
        <w:rPr>
          <w:rFonts w:ascii="Arial" w:hAnsi="Arial" w:cs="Arial"/>
          <w:color w:val="000000" w:themeColor="text1"/>
        </w:rPr>
        <w:t xml:space="preserve"> Ora with a framework for understanding and managing the seismic risk of existing public health facilities or those under consideration of being acquired or leased.  </w:t>
      </w:r>
    </w:p>
    <w:p w14:paraId="3E505DFD" w14:textId="77777777" w:rsidR="00622505" w:rsidRPr="00ED5C07" w:rsidRDefault="00622505" w:rsidP="00781CD5">
      <w:pPr>
        <w:pStyle w:val="ListParagraph"/>
        <w:autoSpaceDE w:val="0"/>
        <w:autoSpaceDN w:val="0"/>
        <w:adjustRightInd w:val="0"/>
        <w:spacing w:line="240" w:lineRule="auto"/>
        <w:ind w:left="425"/>
        <w:rPr>
          <w:rFonts w:ascii="Arial" w:hAnsi="Arial" w:cs="Arial"/>
          <w:color w:val="000000" w:themeColor="text1"/>
        </w:rPr>
      </w:pPr>
    </w:p>
    <w:p w14:paraId="21868FDC" w14:textId="64F7D497" w:rsidR="005B5B01" w:rsidRPr="00E45117" w:rsidRDefault="005B5B01"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sidRPr="00E45117">
        <w:rPr>
          <w:rFonts w:ascii="Arial" w:hAnsi="Arial" w:cs="Arial"/>
          <w:color w:val="000000" w:themeColor="text1"/>
        </w:rPr>
        <w:t>This</w:t>
      </w:r>
      <w:r w:rsidR="00906120" w:rsidRPr="00E45117">
        <w:rPr>
          <w:rFonts w:ascii="Arial" w:hAnsi="Arial" w:cs="Arial"/>
          <w:color w:val="000000" w:themeColor="text1"/>
        </w:rPr>
        <w:t xml:space="preserve"> </w:t>
      </w:r>
      <w:r w:rsidR="00D65C3D" w:rsidRPr="00E45117">
        <w:rPr>
          <w:rFonts w:ascii="Arial" w:hAnsi="Arial" w:cs="Arial"/>
          <w:color w:val="000000" w:themeColor="text1"/>
        </w:rPr>
        <w:t xml:space="preserve">seismic </w:t>
      </w:r>
      <w:r w:rsidRPr="00E45117">
        <w:rPr>
          <w:rFonts w:ascii="Arial" w:hAnsi="Arial" w:cs="Arial"/>
          <w:color w:val="000000" w:themeColor="text1"/>
        </w:rPr>
        <w:t>policy supports the Health System Principles as set out in the Pae Ora (Healthy Futures)</w:t>
      </w:r>
      <w:r w:rsidR="00905432" w:rsidRPr="00E45117">
        <w:rPr>
          <w:rFonts w:ascii="Arial" w:hAnsi="Arial" w:cs="Arial"/>
          <w:color w:val="000000" w:themeColor="text1"/>
        </w:rPr>
        <w:t xml:space="preserve"> Act 2022</w:t>
      </w:r>
      <w:r w:rsidR="00C7617A" w:rsidRPr="00E45117">
        <w:rPr>
          <w:rFonts w:ascii="Arial" w:hAnsi="Arial" w:cs="Arial"/>
          <w:color w:val="000000" w:themeColor="text1"/>
        </w:rPr>
        <w:t>.</w:t>
      </w:r>
      <w:r w:rsidR="00906120" w:rsidRPr="00E45117">
        <w:rPr>
          <w:rFonts w:ascii="Arial" w:hAnsi="Arial" w:cs="Arial"/>
          <w:color w:val="000000" w:themeColor="text1"/>
        </w:rPr>
        <w:t xml:space="preserve"> </w:t>
      </w:r>
    </w:p>
    <w:p w14:paraId="14639CF2" w14:textId="77777777" w:rsidR="00346EAF" w:rsidRDefault="00346EAF" w:rsidP="00346EAF">
      <w:pPr>
        <w:pStyle w:val="ListParagraph"/>
        <w:autoSpaceDE w:val="0"/>
        <w:autoSpaceDN w:val="0"/>
        <w:adjustRightInd w:val="0"/>
        <w:spacing w:line="240" w:lineRule="auto"/>
        <w:ind w:left="426"/>
        <w:rPr>
          <w:rStyle w:val="normaltextrun"/>
          <w:rFonts w:ascii="Calibri" w:hAnsi="Calibri" w:cs="Calibri"/>
          <w:shd w:val="clear" w:color="auto" w:fill="FFFFFF"/>
          <w:lang w:val="en-US"/>
        </w:rPr>
      </w:pPr>
    </w:p>
    <w:p w14:paraId="59DE9B76" w14:textId="1E5CC1C9" w:rsidR="00346EAF" w:rsidRPr="00E45117" w:rsidRDefault="00346EAF"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sidRPr="00C96BC6">
        <w:rPr>
          <w:rFonts w:ascii="Arial" w:hAnsi="Arial" w:cs="Arial"/>
          <w:color w:val="000000" w:themeColor="text1"/>
        </w:rPr>
        <w:t>This policy provides a basis for compliance with the</w:t>
      </w:r>
      <w:r w:rsidRPr="003703BB">
        <w:rPr>
          <w:rFonts w:ascii="Arial" w:hAnsi="Arial" w:cs="Arial"/>
          <w:color w:val="000000" w:themeColor="text1"/>
        </w:rPr>
        <w:t xml:space="preserve"> </w:t>
      </w:r>
      <w:hyperlink r:id="rId11" w:tgtFrame="_blank" w:history="1">
        <w:r w:rsidRPr="00E45117">
          <w:rPr>
            <w:rFonts w:ascii="Arial" w:hAnsi="Arial" w:cs="Arial"/>
            <w:color w:val="000000" w:themeColor="text1"/>
          </w:rPr>
          <w:t>Building Act 2004</w:t>
        </w:r>
      </w:hyperlink>
      <w:r w:rsidRPr="00C96BC6">
        <w:rPr>
          <w:rFonts w:ascii="Arial" w:hAnsi="Arial" w:cs="Arial"/>
          <w:color w:val="000000" w:themeColor="text1"/>
        </w:rPr>
        <w:t xml:space="preserve"> (including the </w:t>
      </w:r>
      <w:hyperlink r:id="rId12" w:tgtFrame="_blank" w:history="1">
        <w:r w:rsidRPr="00C96BC6">
          <w:rPr>
            <w:rFonts w:ascii="Arial" w:hAnsi="Arial" w:cs="Arial"/>
            <w:color w:val="000000" w:themeColor="text1"/>
          </w:rPr>
          <w:t>Earthquake Prone Buildings Amendments from 2016</w:t>
        </w:r>
      </w:hyperlink>
      <w:r w:rsidRPr="00C96BC6">
        <w:rPr>
          <w:rFonts w:ascii="Arial" w:hAnsi="Arial" w:cs="Arial"/>
          <w:color w:val="000000" w:themeColor="text1"/>
        </w:rPr>
        <w:t xml:space="preserve">) and </w:t>
      </w:r>
      <w:hyperlink r:id="rId13" w:tgtFrame="_blank" w:history="1">
        <w:r w:rsidRPr="00E45117">
          <w:rPr>
            <w:rFonts w:ascii="Arial" w:hAnsi="Arial" w:cs="Arial"/>
            <w:color w:val="000000" w:themeColor="text1"/>
          </w:rPr>
          <w:t>Health and Safety at Work Act 2015</w:t>
        </w:r>
      </w:hyperlink>
      <w:r w:rsidRPr="00E45117">
        <w:rPr>
          <w:rFonts w:ascii="Arial" w:hAnsi="Arial" w:cs="Arial"/>
          <w:color w:val="000000" w:themeColor="text1"/>
        </w:rPr>
        <w:t>. </w:t>
      </w:r>
    </w:p>
    <w:p w14:paraId="7FB4CF50" w14:textId="771B31E4" w:rsidR="00034632" w:rsidRPr="00107AAF" w:rsidRDefault="00B50891" w:rsidP="00107AAF">
      <w:pPr>
        <w:pStyle w:val="Heading2"/>
        <w:rPr>
          <w:rFonts w:ascii="Arial" w:hAnsi="Arial" w:cs="Arial"/>
          <w:sz w:val="32"/>
          <w:szCs w:val="32"/>
        </w:rPr>
      </w:pPr>
      <w:r w:rsidRPr="00107AAF">
        <w:rPr>
          <w:rFonts w:ascii="Arial" w:hAnsi="Arial" w:cs="Arial"/>
          <w:sz w:val="32"/>
          <w:szCs w:val="32"/>
        </w:rPr>
        <w:t>Supporting documents under development</w:t>
      </w:r>
    </w:p>
    <w:p w14:paraId="664A2B49" w14:textId="2A1832E2" w:rsidR="00D65C3D" w:rsidRDefault="0003611F"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Pr>
          <w:rFonts w:ascii="Arial" w:hAnsi="Arial" w:cs="Arial"/>
          <w:color w:val="000000" w:themeColor="text1"/>
        </w:rPr>
        <w:t>This policy is to be read in conjunction with our:</w:t>
      </w:r>
    </w:p>
    <w:p w14:paraId="24CBAD2F" w14:textId="77777777" w:rsidR="0020465C" w:rsidRPr="0020465C" w:rsidRDefault="0020465C" w:rsidP="00075CCC">
      <w:pPr>
        <w:pStyle w:val="ListParagraph"/>
        <w:numPr>
          <w:ilvl w:val="2"/>
          <w:numId w:val="1"/>
        </w:numPr>
        <w:rPr>
          <w:rFonts w:ascii="Arial" w:hAnsi="Arial" w:cs="Arial"/>
          <w:color w:val="000000" w:themeColor="text1"/>
        </w:rPr>
      </w:pPr>
      <w:r w:rsidRPr="0020465C">
        <w:rPr>
          <w:rFonts w:ascii="Arial" w:hAnsi="Arial" w:cs="Arial"/>
          <w:color w:val="000000" w:themeColor="text1"/>
        </w:rPr>
        <w:t>Seismic Risk Management Strategy</w:t>
      </w:r>
    </w:p>
    <w:p w14:paraId="19F086F8" w14:textId="388C5384" w:rsidR="000F72B3" w:rsidRDefault="006255BB" w:rsidP="00075CCC">
      <w:pPr>
        <w:pStyle w:val="ListParagraph"/>
        <w:numPr>
          <w:ilvl w:val="2"/>
          <w:numId w:val="1"/>
        </w:numPr>
        <w:autoSpaceDE w:val="0"/>
        <w:autoSpaceDN w:val="0"/>
        <w:adjustRightInd w:val="0"/>
        <w:spacing w:line="240" w:lineRule="auto"/>
        <w:rPr>
          <w:rFonts w:ascii="Arial" w:hAnsi="Arial" w:cs="Arial"/>
          <w:color w:val="000000" w:themeColor="text1"/>
        </w:rPr>
      </w:pPr>
      <w:r>
        <w:rPr>
          <w:rFonts w:ascii="Arial" w:hAnsi="Arial" w:cs="Arial"/>
          <w:color w:val="000000" w:themeColor="text1"/>
        </w:rPr>
        <w:t xml:space="preserve">National </w:t>
      </w:r>
      <w:r w:rsidR="000F72B3" w:rsidRPr="0020465C">
        <w:rPr>
          <w:rFonts w:ascii="Arial" w:hAnsi="Arial" w:cs="Arial"/>
          <w:color w:val="000000" w:themeColor="text1"/>
        </w:rPr>
        <w:t>Asset Management Policy</w:t>
      </w:r>
    </w:p>
    <w:p w14:paraId="4A6BFC54" w14:textId="36AF3E15" w:rsidR="000F72B3" w:rsidRDefault="000F72B3"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20465C">
        <w:rPr>
          <w:rFonts w:ascii="Arial" w:hAnsi="Arial" w:cs="Arial"/>
          <w:color w:val="000000" w:themeColor="text1"/>
        </w:rPr>
        <w:t>National Asset Management Strategy</w:t>
      </w:r>
    </w:p>
    <w:p w14:paraId="12A93F81" w14:textId="483ECC94" w:rsidR="000F72B3" w:rsidRPr="0020465C" w:rsidRDefault="009B59A0" w:rsidP="00075CCC">
      <w:pPr>
        <w:pStyle w:val="ListParagraph"/>
        <w:numPr>
          <w:ilvl w:val="2"/>
          <w:numId w:val="1"/>
        </w:numPr>
        <w:autoSpaceDE w:val="0"/>
        <w:autoSpaceDN w:val="0"/>
        <w:adjustRightInd w:val="0"/>
        <w:spacing w:line="240" w:lineRule="auto"/>
        <w:rPr>
          <w:rFonts w:ascii="Arial" w:hAnsi="Arial" w:cs="Arial"/>
          <w:color w:val="000000" w:themeColor="text1"/>
        </w:rPr>
      </w:pPr>
      <w:r>
        <w:rPr>
          <w:rFonts w:ascii="Arial" w:hAnsi="Arial" w:cs="Arial"/>
          <w:color w:val="000000" w:themeColor="text1"/>
        </w:rPr>
        <w:t xml:space="preserve">Regional and hospital level </w:t>
      </w:r>
      <w:r w:rsidR="000F72B3" w:rsidRPr="0020465C">
        <w:rPr>
          <w:rFonts w:ascii="Arial" w:hAnsi="Arial" w:cs="Arial"/>
          <w:color w:val="000000" w:themeColor="text1"/>
        </w:rPr>
        <w:t>Asset Management plans.</w:t>
      </w:r>
    </w:p>
    <w:p w14:paraId="05D21F0A" w14:textId="68FD7E59" w:rsidR="000F72B3" w:rsidRDefault="000F72B3" w:rsidP="000F72B3">
      <w:pPr>
        <w:pStyle w:val="ListParagraph"/>
        <w:autoSpaceDE w:val="0"/>
        <w:autoSpaceDN w:val="0"/>
        <w:adjustRightInd w:val="0"/>
        <w:spacing w:line="240" w:lineRule="auto"/>
        <w:ind w:left="426"/>
        <w:rPr>
          <w:rFonts w:ascii="Arial" w:hAnsi="Arial" w:cs="Arial"/>
          <w:color w:val="000000" w:themeColor="text1"/>
        </w:rPr>
      </w:pPr>
    </w:p>
    <w:p w14:paraId="3A7AE18B" w14:textId="41F59816" w:rsidR="00A356EF" w:rsidRDefault="00A356EF"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sidRPr="00FC495F">
        <w:rPr>
          <w:rFonts w:ascii="Arial" w:hAnsi="Arial" w:cs="Arial"/>
          <w:color w:val="000000" w:themeColor="text1"/>
        </w:rPr>
        <w:t>The</w:t>
      </w:r>
      <w:r w:rsidR="00F96BD0" w:rsidRPr="00FC495F">
        <w:rPr>
          <w:rFonts w:ascii="Arial" w:hAnsi="Arial" w:cs="Arial"/>
          <w:color w:val="000000" w:themeColor="text1"/>
        </w:rPr>
        <w:t xml:space="preserve"> above documents are currently under </w:t>
      </w:r>
      <w:r w:rsidRPr="00FC495F">
        <w:rPr>
          <w:rFonts w:ascii="Arial" w:hAnsi="Arial" w:cs="Arial"/>
          <w:color w:val="000000" w:themeColor="text1"/>
        </w:rPr>
        <w:t>development.</w:t>
      </w:r>
    </w:p>
    <w:p w14:paraId="05D84F13" w14:textId="77777777" w:rsidR="00FC495F" w:rsidRPr="00FC495F" w:rsidRDefault="00FC495F" w:rsidP="00FC495F">
      <w:pPr>
        <w:pStyle w:val="ListParagraph"/>
        <w:autoSpaceDE w:val="0"/>
        <w:autoSpaceDN w:val="0"/>
        <w:adjustRightInd w:val="0"/>
        <w:spacing w:line="240" w:lineRule="auto"/>
        <w:ind w:left="426"/>
        <w:rPr>
          <w:rFonts w:ascii="Arial" w:hAnsi="Arial" w:cs="Arial"/>
          <w:color w:val="000000" w:themeColor="text1"/>
        </w:rPr>
      </w:pPr>
    </w:p>
    <w:p w14:paraId="3FD96640" w14:textId="5851ACFA" w:rsidR="00A356EF" w:rsidRPr="002E0F78" w:rsidRDefault="002E0F78" w:rsidP="00075CCC">
      <w:pPr>
        <w:pStyle w:val="ListParagraph"/>
        <w:numPr>
          <w:ilvl w:val="0"/>
          <w:numId w:val="1"/>
        </w:numPr>
        <w:autoSpaceDE w:val="0"/>
        <w:autoSpaceDN w:val="0"/>
        <w:adjustRightInd w:val="0"/>
        <w:spacing w:line="240" w:lineRule="auto"/>
        <w:ind w:left="426" w:hanging="426"/>
      </w:pPr>
      <w:r w:rsidRPr="002E0F78">
        <w:rPr>
          <w:rFonts w:ascii="Arial" w:hAnsi="Arial" w:cs="Arial"/>
          <w:color w:val="000000" w:themeColor="text1"/>
        </w:rPr>
        <w:t>The Seismic Risk Management Strategy guides the implementation of this policy with respect to priorities. It sets the direction for seismic work by outlining the implementation response to the Seismic Policy, providing actionable steps to actively reduce earthquake risk across hospital buildings through short, medium, and long-term priority actions.  </w:t>
      </w:r>
    </w:p>
    <w:p w14:paraId="2B816177" w14:textId="77777777" w:rsidR="002E0F78" w:rsidRPr="002E0F78" w:rsidRDefault="002E0F78" w:rsidP="002E0F78">
      <w:pPr>
        <w:pStyle w:val="ListParagraph"/>
        <w:rPr>
          <w:rFonts w:ascii="Arial" w:hAnsi="Arial" w:cs="Arial"/>
          <w:color w:val="000000" w:themeColor="text1"/>
        </w:rPr>
      </w:pPr>
    </w:p>
    <w:p w14:paraId="5E7E39EF" w14:textId="36441316" w:rsidR="002E0F78" w:rsidRPr="00D353FF" w:rsidRDefault="00D353FF" w:rsidP="00075CCC">
      <w:pPr>
        <w:pStyle w:val="ListParagraph"/>
        <w:numPr>
          <w:ilvl w:val="0"/>
          <w:numId w:val="1"/>
        </w:numPr>
        <w:autoSpaceDE w:val="0"/>
        <w:autoSpaceDN w:val="0"/>
        <w:adjustRightInd w:val="0"/>
        <w:spacing w:line="240" w:lineRule="auto"/>
        <w:ind w:left="426" w:hanging="426"/>
      </w:pPr>
      <w:r w:rsidRPr="00D353FF">
        <w:rPr>
          <w:rFonts w:ascii="Arial" w:hAnsi="Arial" w:cs="Arial"/>
          <w:color w:val="000000" w:themeColor="text1"/>
        </w:rPr>
        <w:t xml:space="preserve">The </w:t>
      </w:r>
      <w:r w:rsidR="006255BB">
        <w:rPr>
          <w:rFonts w:ascii="Arial" w:hAnsi="Arial" w:cs="Arial"/>
          <w:color w:val="000000" w:themeColor="text1"/>
        </w:rPr>
        <w:t xml:space="preserve">National </w:t>
      </w:r>
      <w:r w:rsidRPr="00D353FF">
        <w:rPr>
          <w:rFonts w:ascii="Arial" w:hAnsi="Arial" w:cs="Arial"/>
          <w:color w:val="000000" w:themeColor="text1"/>
        </w:rPr>
        <w:t xml:space="preserve">Asset Management Policy sets out the Te </w:t>
      </w:r>
      <w:proofErr w:type="spellStart"/>
      <w:r w:rsidRPr="00D353FF">
        <w:rPr>
          <w:rFonts w:ascii="Arial" w:hAnsi="Arial" w:cs="Arial"/>
          <w:color w:val="000000" w:themeColor="text1"/>
        </w:rPr>
        <w:t>Whatu</w:t>
      </w:r>
      <w:proofErr w:type="spellEnd"/>
      <w:r w:rsidRPr="00D353FF">
        <w:rPr>
          <w:rFonts w:ascii="Arial" w:hAnsi="Arial" w:cs="Arial"/>
          <w:color w:val="000000" w:themeColor="text1"/>
        </w:rPr>
        <w:t xml:space="preserve"> Ora commitment and direction for asset management across all our assets and defines the key principles that underpin our asset management practices. </w:t>
      </w:r>
    </w:p>
    <w:p w14:paraId="026C5E5E" w14:textId="77777777" w:rsidR="00D353FF" w:rsidRPr="00D353FF" w:rsidRDefault="00D353FF" w:rsidP="00D353FF">
      <w:pPr>
        <w:pStyle w:val="ListParagraph"/>
        <w:rPr>
          <w:rFonts w:ascii="Arial" w:hAnsi="Arial" w:cs="Arial"/>
          <w:color w:val="000000" w:themeColor="text1"/>
        </w:rPr>
      </w:pPr>
    </w:p>
    <w:p w14:paraId="551ADBBA" w14:textId="080EFBE2" w:rsidR="00D353FF" w:rsidRDefault="006857F1"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sidRPr="006857F1">
        <w:rPr>
          <w:rFonts w:ascii="Arial" w:hAnsi="Arial" w:cs="Arial"/>
          <w:color w:val="000000" w:themeColor="text1"/>
        </w:rPr>
        <w:t>The National Asset Management Strategy sets out how to improve the maturity of asset management practice through the development of the frameworks, capability, and planning necessary to lift performance. </w:t>
      </w:r>
    </w:p>
    <w:p w14:paraId="0B2A5083" w14:textId="77777777" w:rsidR="006857F1" w:rsidRPr="006857F1" w:rsidRDefault="006857F1" w:rsidP="006857F1">
      <w:pPr>
        <w:pStyle w:val="ListParagraph"/>
        <w:rPr>
          <w:rFonts w:ascii="Arial" w:hAnsi="Arial" w:cs="Arial"/>
          <w:color w:val="000000" w:themeColor="text1"/>
        </w:rPr>
      </w:pPr>
    </w:p>
    <w:p w14:paraId="41E1B6B0" w14:textId="2E79D43C" w:rsidR="006857F1" w:rsidRDefault="006857F1"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sidRPr="4088D13F">
        <w:rPr>
          <w:rFonts w:ascii="Arial" w:hAnsi="Arial" w:cs="Arial"/>
          <w:color w:val="000000" w:themeColor="text1"/>
        </w:rPr>
        <w:t xml:space="preserve">The </w:t>
      </w:r>
      <w:r w:rsidR="005A5EFD" w:rsidRPr="4088D13F">
        <w:rPr>
          <w:rFonts w:ascii="Arial" w:hAnsi="Arial" w:cs="Arial"/>
          <w:color w:val="000000" w:themeColor="text1"/>
        </w:rPr>
        <w:t xml:space="preserve">Regional and Hospital level </w:t>
      </w:r>
      <w:r w:rsidRPr="4088D13F">
        <w:rPr>
          <w:rFonts w:ascii="Arial" w:hAnsi="Arial" w:cs="Arial"/>
          <w:color w:val="000000" w:themeColor="text1"/>
        </w:rPr>
        <w:t>Asset Management Plan</w:t>
      </w:r>
      <w:r w:rsidR="006537CF" w:rsidRPr="4088D13F">
        <w:rPr>
          <w:rFonts w:ascii="Arial" w:hAnsi="Arial" w:cs="Arial"/>
          <w:color w:val="000000" w:themeColor="text1"/>
        </w:rPr>
        <w:t>s</w:t>
      </w:r>
      <w:r w:rsidRPr="4088D13F">
        <w:rPr>
          <w:rFonts w:ascii="Arial" w:hAnsi="Arial" w:cs="Arial"/>
          <w:color w:val="000000" w:themeColor="text1"/>
        </w:rPr>
        <w:t xml:space="preserve"> will identify the risks in the health estate and based on agreed asset levels of service</w:t>
      </w:r>
      <w:r w:rsidR="1BD75A1C" w:rsidRPr="4088D13F">
        <w:rPr>
          <w:rFonts w:ascii="Arial" w:hAnsi="Arial" w:cs="Arial"/>
          <w:color w:val="000000" w:themeColor="text1"/>
        </w:rPr>
        <w:t xml:space="preserve"> </w:t>
      </w:r>
      <w:r w:rsidR="7A207CFD" w:rsidRPr="4088D13F">
        <w:rPr>
          <w:rFonts w:ascii="Arial" w:hAnsi="Arial" w:cs="Arial"/>
          <w:color w:val="000000" w:themeColor="text1"/>
        </w:rPr>
        <w:t xml:space="preserve">will specify the actions/investment necessary to achieve our objectives </w:t>
      </w:r>
      <w:r w:rsidR="26C56E94" w:rsidRPr="4088D13F">
        <w:rPr>
          <w:rFonts w:ascii="Arial" w:hAnsi="Arial" w:cs="Arial"/>
          <w:color w:val="000000" w:themeColor="text1"/>
        </w:rPr>
        <w:t>and</w:t>
      </w:r>
      <w:r w:rsidRPr="4088D13F">
        <w:rPr>
          <w:rFonts w:ascii="Arial" w:hAnsi="Arial" w:cs="Arial"/>
          <w:color w:val="000000" w:themeColor="text1"/>
        </w:rPr>
        <w:t xml:space="preserve"> prioritise our investment needs across the health estate. </w:t>
      </w:r>
    </w:p>
    <w:p w14:paraId="458AC0D1" w14:textId="77777777" w:rsidR="00FC495F" w:rsidRPr="00FC495F" w:rsidRDefault="00FC495F" w:rsidP="00FC495F">
      <w:pPr>
        <w:pStyle w:val="ListParagraph"/>
        <w:rPr>
          <w:rFonts w:ascii="Arial" w:hAnsi="Arial" w:cs="Arial"/>
          <w:color w:val="000000" w:themeColor="text1"/>
        </w:rPr>
      </w:pPr>
    </w:p>
    <w:p w14:paraId="4249A01F" w14:textId="0D7ED5D0" w:rsidR="0004002B" w:rsidRPr="00ED5C07" w:rsidRDefault="0004002B" w:rsidP="00C96B9E">
      <w:pPr>
        <w:pStyle w:val="Heading2"/>
        <w:rPr>
          <w:rFonts w:ascii="Arial" w:hAnsi="Arial" w:cs="Arial"/>
          <w:sz w:val="32"/>
          <w:szCs w:val="32"/>
        </w:rPr>
      </w:pPr>
      <w:r w:rsidRPr="00ED5C07">
        <w:rPr>
          <w:rFonts w:ascii="Arial" w:hAnsi="Arial" w:cs="Arial"/>
          <w:sz w:val="32"/>
          <w:szCs w:val="32"/>
        </w:rPr>
        <w:lastRenderedPageBreak/>
        <w:t>Application</w:t>
      </w:r>
    </w:p>
    <w:p w14:paraId="624F415E" w14:textId="79398756" w:rsidR="00FC495F" w:rsidRDefault="007B2559" w:rsidP="00107AAF">
      <w:pPr>
        <w:pStyle w:val="ListParagraph"/>
        <w:numPr>
          <w:ilvl w:val="0"/>
          <w:numId w:val="1"/>
        </w:numPr>
        <w:autoSpaceDE w:val="0"/>
        <w:autoSpaceDN w:val="0"/>
        <w:adjustRightInd w:val="0"/>
        <w:spacing w:line="240" w:lineRule="auto"/>
        <w:ind w:left="425" w:hanging="425"/>
        <w:rPr>
          <w:rFonts w:ascii="Arial" w:hAnsi="Arial" w:cs="Arial"/>
          <w:color w:val="000000" w:themeColor="text1"/>
        </w:rPr>
      </w:pPr>
      <w:r w:rsidRPr="003703BB">
        <w:rPr>
          <w:rFonts w:ascii="Arial" w:hAnsi="Arial" w:cs="Arial"/>
          <w:color w:val="000000" w:themeColor="text1"/>
        </w:rPr>
        <w:t xml:space="preserve">The policy covers </w:t>
      </w:r>
      <w:r w:rsidR="0019736C">
        <w:rPr>
          <w:rFonts w:ascii="Arial" w:hAnsi="Arial" w:cs="Arial"/>
          <w:color w:val="000000" w:themeColor="text1"/>
        </w:rPr>
        <w:t xml:space="preserve">the </w:t>
      </w:r>
      <w:r w:rsidR="005131D2" w:rsidRPr="00087027">
        <w:rPr>
          <w:rFonts w:ascii="Arial" w:hAnsi="Arial" w:cs="Arial"/>
          <w:color w:val="000000" w:themeColor="text1"/>
        </w:rPr>
        <w:t xml:space="preserve">management </w:t>
      </w:r>
      <w:r w:rsidR="005131D2">
        <w:rPr>
          <w:rFonts w:ascii="Arial" w:hAnsi="Arial" w:cs="Arial"/>
          <w:color w:val="000000" w:themeColor="text1"/>
        </w:rPr>
        <w:t xml:space="preserve">of </w:t>
      </w:r>
      <w:r w:rsidRPr="003703BB">
        <w:rPr>
          <w:rFonts w:ascii="Arial" w:hAnsi="Arial" w:cs="Arial"/>
          <w:color w:val="000000" w:themeColor="text1"/>
        </w:rPr>
        <w:t xml:space="preserve">seismic </w:t>
      </w:r>
      <w:r w:rsidR="005B5396">
        <w:rPr>
          <w:rFonts w:ascii="Arial" w:hAnsi="Arial" w:cs="Arial"/>
          <w:color w:val="000000" w:themeColor="text1"/>
        </w:rPr>
        <w:t xml:space="preserve">risk in </w:t>
      </w:r>
      <w:r w:rsidRPr="003703BB">
        <w:rPr>
          <w:rFonts w:ascii="Arial" w:hAnsi="Arial" w:cs="Arial"/>
          <w:color w:val="000000" w:themeColor="text1"/>
        </w:rPr>
        <w:t>buildings</w:t>
      </w:r>
      <w:r w:rsidR="005B5396">
        <w:rPr>
          <w:rFonts w:ascii="Arial" w:hAnsi="Arial" w:cs="Arial"/>
          <w:color w:val="000000" w:themeColor="text1"/>
        </w:rPr>
        <w:t xml:space="preserve"> </w:t>
      </w:r>
      <w:r w:rsidR="00597911">
        <w:rPr>
          <w:rFonts w:ascii="Arial" w:hAnsi="Arial" w:cs="Arial"/>
          <w:color w:val="000000" w:themeColor="text1"/>
        </w:rPr>
        <w:t>owned and leased</w:t>
      </w:r>
      <w:r w:rsidR="00582610">
        <w:rPr>
          <w:rFonts w:ascii="Arial" w:hAnsi="Arial" w:cs="Arial"/>
          <w:color w:val="000000" w:themeColor="text1"/>
        </w:rPr>
        <w:t xml:space="preserve"> by Te </w:t>
      </w:r>
      <w:proofErr w:type="spellStart"/>
      <w:r w:rsidR="00582610">
        <w:rPr>
          <w:rFonts w:ascii="Arial" w:hAnsi="Arial" w:cs="Arial"/>
          <w:color w:val="000000" w:themeColor="text1"/>
        </w:rPr>
        <w:t>Whatu</w:t>
      </w:r>
      <w:proofErr w:type="spellEnd"/>
      <w:r w:rsidR="00582610">
        <w:rPr>
          <w:rFonts w:ascii="Arial" w:hAnsi="Arial" w:cs="Arial"/>
          <w:color w:val="000000" w:themeColor="text1"/>
        </w:rPr>
        <w:t xml:space="preserve"> Ora</w:t>
      </w:r>
      <w:r w:rsidRPr="003703BB">
        <w:rPr>
          <w:rFonts w:ascii="Arial" w:hAnsi="Arial" w:cs="Arial"/>
          <w:color w:val="000000" w:themeColor="text1"/>
        </w:rPr>
        <w:t xml:space="preserve">, </w:t>
      </w:r>
      <w:r>
        <w:rPr>
          <w:rFonts w:ascii="Arial" w:hAnsi="Arial" w:cs="Arial"/>
          <w:color w:val="000000" w:themeColor="text1"/>
        </w:rPr>
        <w:t>which covers the building structure and non-structural elements,</w:t>
      </w:r>
      <w:r w:rsidRPr="003703BB">
        <w:rPr>
          <w:rFonts w:ascii="Arial" w:hAnsi="Arial" w:cs="Arial"/>
          <w:color w:val="000000" w:themeColor="text1"/>
        </w:rPr>
        <w:t xml:space="preserve"> to ensure safe </w:t>
      </w:r>
      <w:r w:rsidR="00597911">
        <w:rPr>
          <w:rFonts w:ascii="Arial" w:hAnsi="Arial" w:cs="Arial"/>
          <w:color w:val="000000" w:themeColor="text1"/>
        </w:rPr>
        <w:t xml:space="preserve">and </w:t>
      </w:r>
      <w:r w:rsidRPr="003703BB">
        <w:rPr>
          <w:rFonts w:ascii="Arial" w:hAnsi="Arial" w:cs="Arial"/>
          <w:color w:val="000000" w:themeColor="text1"/>
        </w:rPr>
        <w:t xml:space="preserve">fit for purpose facilities for </w:t>
      </w:r>
      <w:r w:rsidR="00C070A7" w:rsidRPr="003703BB">
        <w:rPr>
          <w:rFonts w:ascii="Arial" w:hAnsi="Arial" w:cs="Arial"/>
          <w:color w:val="000000" w:themeColor="text1"/>
        </w:rPr>
        <w:t>staff, patients, whanau, and those who work on or at our facilities</w:t>
      </w:r>
      <w:r w:rsidR="0051356F" w:rsidRPr="0051356F">
        <w:rPr>
          <w:rFonts w:ascii="Arial" w:hAnsi="Arial" w:cs="Arial"/>
          <w:color w:val="000000" w:themeColor="text1"/>
        </w:rPr>
        <w:t>.</w:t>
      </w:r>
      <w:r w:rsidR="00331D2F">
        <w:rPr>
          <w:rFonts w:ascii="Arial" w:hAnsi="Arial" w:cs="Arial"/>
          <w:color w:val="000000" w:themeColor="text1"/>
        </w:rPr>
        <w:t xml:space="preserve"> </w:t>
      </w:r>
    </w:p>
    <w:p w14:paraId="273089A7" w14:textId="77777777" w:rsidR="00107AAF" w:rsidRPr="00107AAF" w:rsidRDefault="00107AAF" w:rsidP="00107AAF">
      <w:pPr>
        <w:pStyle w:val="ListParagraph"/>
        <w:autoSpaceDE w:val="0"/>
        <w:autoSpaceDN w:val="0"/>
        <w:adjustRightInd w:val="0"/>
        <w:spacing w:line="240" w:lineRule="auto"/>
        <w:ind w:left="425"/>
        <w:rPr>
          <w:rFonts w:ascii="Arial" w:hAnsi="Arial" w:cs="Arial"/>
          <w:color w:val="000000" w:themeColor="text1"/>
        </w:rPr>
      </w:pPr>
    </w:p>
    <w:p w14:paraId="637AD75D" w14:textId="7608D26C" w:rsidR="00150033" w:rsidRDefault="000B145B" w:rsidP="00075CCC">
      <w:pPr>
        <w:pStyle w:val="ListParagraph"/>
        <w:numPr>
          <w:ilvl w:val="0"/>
          <w:numId w:val="1"/>
        </w:numPr>
        <w:autoSpaceDE w:val="0"/>
        <w:autoSpaceDN w:val="0"/>
        <w:adjustRightInd w:val="0"/>
        <w:spacing w:line="240" w:lineRule="auto"/>
        <w:ind w:left="425" w:hanging="425"/>
        <w:rPr>
          <w:rFonts w:ascii="Arial" w:hAnsi="Arial" w:cs="Arial"/>
          <w:color w:val="000000" w:themeColor="text1"/>
        </w:rPr>
      </w:pPr>
      <w:r w:rsidRPr="00FA1979">
        <w:rPr>
          <w:rFonts w:ascii="Arial" w:hAnsi="Arial" w:cs="Arial"/>
          <w:color w:val="000000" w:themeColor="text1"/>
        </w:rPr>
        <w:t>This Seismic Policy covers the following aspects: </w:t>
      </w:r>
    </w:p>
    <w:p w14:paraId="284F47EF" w14:textId="77777777" w:rsidR="00AF2CBD" w:rsidRPr="00AF2CBD" w:rsidRDefault="00AF2CBD" w:rsidP="00AF2CBD">
      <w:pPr>
        <w:pStyle w:val="ListParagraph"/>
        <w:rPr>
          <w:rFonts w:ascii="Arial" w:hAnsi="Arial" w:cs="Arial"/>
          <w:color w:val="000000" w:themeColor="text1"/>
        </w:rPr>
      </w:pPr>
    </w:p>
    <w:p w14:paraId="444F16CF" w14:textId="4EED5E61" w:rsidR="00663CCB" w:rsidRDefault="00C0429C" w:rsidP="00075CCC">
      <w:pPr>
        <w:pStyle w:val="ListParagraph"/>
        <w:numPr>
          <w:ilvl w:val="2"/>
          <w:numId w:val="1"/>
        </w:numPr>
        <w:autoSpaceDE w:val="0"/>
        <w:autoSpaceDN w:val="0"/>
        <w:adjustRightInd w:val="0"/>
        <w:spacing w:line="240" w:lineRule="auto"/>
        <w:rPr>
          <w:rFonts w:ascii="Arial" w:hAnsi="Arial" w:cs="Arial"/>
          <w:color w:val="000000" w:themeColor="text1"/>
        </w:rPr>
      </w:pPr>
      <w:r>
        <w:rPr>
          <w:rFonts w:ascii="Arial" w:hAnsi="Arial" w:cs="Arial"/>
          <w:color w:val="000000" w:themeColor="text1"/>
        </w:rPr>
        <w:t xml:space="preserve">seismic </w:t>
      </w:r>
      <w:r w:rsidR="006D6000">
        <w:rPr>
          <w:rFonts w:ascii="Arial" w:hAnsi="Arial" w:cs="Arial"/>
          <w:color w:val="000000" w:themeColor="text1"/>
        </w:rPr>
        <w:t xml:space="preserve">risk </w:t>
      </w:r>
      <w:r>
        <w:rPr>
          <w:rFonts w:ascii="Arial" w:hAnsi="Arial" w:cs="Arial"/>
          <w:color w:val="000000" w:themeColor="text1"/>
        </w:rPr>
        <w:t>management of buildings</w:t>
      </w:r>
    </w:p>
    <w:p w14:paraId="55622E68" w14:textId="67019F74" w:rsidR="000B145B" w:rsidRDefault="001A4832"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150033">
        <w:rPr>
          <w:rFonts w:ascii="Arial" w:hAnsi="Arial" w:cs="Arial"/>
          <w:color w:val="000000" w:themeColor="text1"/>
        </w:rPr>
        <w:t>developing and maintaining current seismic information </w:t>
      </w:r>
    </w:p>
    <w:p w14:paraId="0F233984" w14:textId="70E47021" w:rsidR="000B145B" w:rsidRDefault="001A4832"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150033">
        <w:rPr>
          <w:rFonts w:ascii="Arial" w:hAnsi="Arial" w:cs="Arial"/>
          <w:color w:val="000000" w:themeColor="text1"/>
        </w:rPr>
        <w:t>seismic design and strengthening objectives (with linkages to the engineering design guidance to be prepared) </w:t>
      </w:r>
    </w:p>
    <w:p w14:paraId="3EDE916D" w14:textId="11EE19CA" w:rsidR="001A4832" w:rsidRDefault="00E82179"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150033">
        <w:rPr>
          <w:rFonts w:ascii="Arial" w:hAnsi="Arial" w:cs="Arial"/>
          <w:color w:val="000000" w:themeColor="text1"/>
        </w:rPr>
        <w:t>the categorisation of health facilities in relation to potential seismic risk, and the priority categories for seismic strengthening, re-purposing, or removal </w:t>
      </w:r>
    </w:p>
    <w:p w14:paraId="29E71313" w14:textId="2235C672" w:rsidR="00E82179" w:rsidRDefault="00E82179"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E9565A">
        <w:rPr>
          <w:rFonts w:ascii="Arial" w:hAnsi="Arial" w:cs="Arial"/>
          <w:color w:val="000000" w:themeColor="text1"/>
        </w:rPr>
        <w:t xml:space="preserve">the requirements for commissioning and understanding seismic assessments and determining resulting </w:t>
      </w:r>
      <w:proofErr w:type="gramStart"/>
      <w:r w:rsidRPr="00E9565A">
        <w:rPr>
          <w:rFonts w:ascii="Arial" w:hAnsi="Arial" w:cs="Arial"/>
          <w:color w:val="000000" w:themeColor="text1"/>
        </w:rPr>
        <w:t>actions</w:t>
      </w:r>
      <w:proofErr w:type="gramEnd"/>
      <w:r w:rsidRPr="00E9565A">
        <w:rPr>
          <w:rFonts w:ascii="Arial" w:hAnsi="Arial" w:cs="Arial"/>
          <w:color w:val="000000" w:themeColor="text1"/>
        </w:rPr>
        <w:t> </w:t>
      </w:r>
    </w:p>
    <w:p w14:paraId="064F2848" w14:textId="77777777" w:rsidR="00E9565A" w:rsidRDefault="008E48CE"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E9565A">
        <w:rPr>
          <w:rFonts w:ascii="Arial" w:hAnsi="Arial" w:cs="Arial"/>
          <w:color w:val="000000" w:themeColor="text1"/>
        </w:rPr>
        <w:t>decision-making in relation to the continued occupancy of Earthquake Prone Buildings and others rating less than 34%</w:t>
      </w:r>
      <w:proofErr w:type="gramStart"/>
      <w:r w:rsidRPr="00E9565A">
        <w:rPr>
          <w:rFonts w:ascii="Arial" w:hAnsi="Arial" w:cs="Arial"/>
          <w:color w:val="000000" w:themeColor="text1"/>
        </w:rPr>
        <w:t>NBS</w:t>
      </w:r>
      <w:proofErr w:type="gramEnd"/>
    </w:p>
    <w:p w14:paraId="4E9B8C17" w14:textId="40BEF65D" w:rsidR="008E48CE" w:rsidRDefault="008E48CE"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E9565A">
        <w:rPr>
          <w:rFonts w:ascii="Arial" w:hAnsi="Arial" w:cs="Arial"/>
          <w:color w:val="000000" w:themeColor="text1"/>
        </w:rPr>
        <w:t>the requirements for post-earthquake technical response arrangements </w:t>
      </w:r>
    </w:p>
    <w:p w14:paraId="0889F2AD" w14:textId="2563FB5F" w:rsidR="008E48CE" w:rsidRPr="00E9565A" w:rsidRDefault="00796DA7" w:rsidP="00075CCC">
      <w:pPr>
        <w:pStyle w:val="ListParagraph"/>
        <w:numPr>
          <w:ilvl w:val="2"/>
          <w:numId w:val="1"/>
        </w:numPr>
        <w:autoSpaceDE w:val="0"/>
        <w:autoSpaceDN w:val="0"/>
        <w:adjustRightInd w:val="0"/>
        <w:spacing w:line="240" w:lineRule="auto"/>
        <w:rPr>
          <w:rFonts w:ascii="Arial" w:hAnsi="Arial" w:cs="Arial"/>
          <w:color w:val="000000" w:themeColor="text1"/>
        </w:rPr>
      </w:pPr>
      <w:r w:rsidRPr="00E9565A">
        <w:rPr>
          <w:rFonts w:ascii="Arial" w:hAnsi="Arial" w:cs="Arial"/>
          <w:color w:val="000000" w:themeColor="text1"/>
        </w:rPr>
        <w:t>requirements for future property commitments (</w:t>
      </w:r>
      <w:r w:rsidR="00E9565A" w:rsidRPr="00E9565A">
        <w:rPr>
          <w:rFonts w:ascii="Arial" w:hAnsi="Arial" w:cs="Arial"/>
          <w:color w:val="000000" w:themeColor="text1"/>
        </w:rPr>
        <w:t>e.g.,</w:t>
      </w:r>
      <w:r w:rsidRPr="00E9565A">
        <w:rPr>
          <w:rFonts w:ascii="Arial" w:hAnsi="Arial" w:cs="Arial"/>
          <w:color w:val="000000" w:themeColor="text1"/>
        </w:rPr>
        <w:t xml:space="preserve"> seismic requirements in relation to a new building acquisition or lease). </w:t>
      </w:r>
    </w:p>
    <w:p w14:paraId="4C85A07B" w14:textId="77777777" w:rsidR="00E06CB7" w:rsidRPr="0084362F" w:rsidRDefault="00E06CB7" w:rsidP="0084362F">
      <w:pPr>
        <w:pStyle w:val="Heading2"/>
        <w:rPr>
          <w:rFonts w:ascii="Arial" w:hAnsi="Arial" w:cs="Arial"/>
          <w:sz w:val="32"/>
          <w:szCs w:val="32"/>
        </w:rPr>
      </w:pPr>
      <w:r w:rsidRPr="0084362F">
        <w:t>Alignment to Te Mauri o Rongo </w:t>
      </w:r>
    </w:p>
    <w:p w14:paraId="3D6A5AD0" w14:textId="77777777" w:rsidR="00E06CB7" w:rsidRPr="0084362F" w:rsidRDefault="00E06CB7" w:rsidP="0084362F">
      <w:pPr>
        <w:pStyle w:val="ListParagraph"/>
        <w:numPr>
          <w:ilvl w:val="0"/>
          <w:numId w:val="1"/>
        </w:numPr>
        <w:autoSpaceDE w:val="0"/>
        <w:autoSpaceDN w:val="0"/>
        <w:adjustRightInd w:val="0"/>
        <w:spacing w:line="240" w:lineRule="auto"/>
        <w:ind w:left="425" w:hanging="425"/>
        <w:rPr>
          <w:rFonts w:ascii="Arial" w:hAnsi="Arial" w:cs="Arial"/>
          <w:color w:val="000000" w:themeColor="text1"/>
        </w:rPr>
      </w:pPr>
      <w:r w:rsidRPr="0084362F">
        <w:rPr>
          <w:rFonts w:ascii="Arial" w:hAnsi="Arial" w:cs="Arial"/>
          <w:color w:val="000000" w:themeColor="text1"/>
        </w:rPr>
        <w:t xml:space="preserve">Te Mauri o Rongo | The Health Charter has given us four </w:t>
      </w:r>
      <w:proofErr w:type="spellStart"/>
      <w:r w:rsidRPr="0084362F">
        <w:rPr>
          <w:rFonts w:ascii="Arial" w:hAnsi="Arial" w:cs="Arial"/>
          <w:color w:val="000000" w:themeColor="text1"/>
        </w:rPr>
        <w:t>pou</w:t>
      </w:r>
      <w:proofErr w:type="spellEnd"/>
      <w:r w:rsidRPr="0084362F">
        <w:rPr>
          <w:rFonts w:ascii="Arial" w:hAnsi="Arial" w:cs="Arial"/>
          <w:color w:val="000000" w:themeColor="text1"/>
        </w:rPr>
        <w:t xml:space="preserve"> to guide the development of organisational policies and processes that support the workforce culture we aspire to:    </w:t>
      </w:r>
    </w:p>
    <w:p w14:paraId="342AA605" w14:textId="77777777" w:rsidR="00E06CB7" w:rsidRPr="0084362F" w:rsidRDefault="00E06CB7" w:rsidP="0084362F">
      <w:pPr>
        <w:pStyle w:val="ListParagraph"/>
        <w:numPr>
          <w:ilvl w:val="2"/>
          <w:numId w:val="1"/>
        </w:numPr>
        <w:rPr>
          <w:rFonts w:ascii="Arial" w:hAnsi="Arial" w:cs="Arial"/>
          <w:color w:val="000000" w:themeColor="text1"/>
        </w:rPr>
      </w:pPr>
      <w:proofErr w:type="spellStart"/>
      <w:r w:rsidRPr="0084362F">
        <w:rPr>
          <w:rFonts w:ascii="Arial" w:hAnsi="Arial" w:cs="Arial"/>
          <w:color w:val="000000" w:themeColor="text1"/>
        </w:rPr>
        <w:t>Wairuatanga</w:t>
      </w:r>
      <w:proofErr w:type="spellEnd"/>
      <w:r w:rsidRPr="0084362F">
        <w:rPr>
          <w:rFonts w:ascii="Arial" w:hAnsi="Arial" w:cs="Arial"/>
          <w:color w:val="000000" w:themeColor="text1"/>
        </w:rPr>
        <w:t xml:space="preserve"> – working with heart, the strong sense of purpose and commitment to service that health workers bring to their mahi.   </w:t>
      </w:r>
    </w:p>
    <w:p w14:paraId="632FDA17" w14:textId="77777777" w:rsidR="00E06CB7" w:rsidRPr="0084362F" w:rsidRDefault="00E06CB7" w:rsidP="0084362F">
      <w:pPr>
        <w:pStyle w:val="ListParagraph"/>
        <w:numPr>
          <w:ilvl w:val="2"/>
          <w:numId w:val="1"/>
        </w:numPr>
        <w:rPr>
          <w:rFonts w:ascii="Arial" w:hAnsi="Arial" w:cs="Arial"/>
          <w:color w:val="000000" w:themeColor="text1"/>
        </w:rPr>
      </w:pPr>
      <w:r w:rsidRPr="0084362F">
        <w:rPr>
          <w:rFonts w:ascii="Arial" w:hAnsi="Arial" w:cs="Arial"/>
          <w:color w:val="000000" w:themeColor="text1"/>
        </w:rPr>
        <w:t>Rangatiratanga – as organisations we support our people to lead. We will know our people; we will grow those around us and be accountable with them in contributing to Pae Ora for all.  </w:t>
      </w:r>
    </w:p>
    <w:p w14:paraId="3DCEA11D" w14:textId="77777777" w:rsidR="00E06CB7" w:rsidRPr="0084362F" w:rsidRDefault="00E06CB7" w:rsidP="0084362F">
      <w:pPr>
        <w:pStyle w:val="ListParagraph"/>
        <w:numPr>
          <w:ilvl w:val="2"/>
          <w:numId w:val="1"/>
        </w:numPr>
        <w:rPr>
          <w:rFonts w:ascii="Arial" w:hAnsi="Arial" w:cs="Arial"/>
          <w:color w:val="000000" w:themeColor="text1"/>
        </w:rPr>
      </w:pPr>
      <w:r w:rsidRPr="0084362F">
        <w:rPr>
          <w:rFonts w:ascii="Arial" w:hAnsi="Arial" w:cs="Arial"/>
          <w:color w:val="000000" w:themeColor="text1"/>
        </w:rPr>
        <w:t xml:space="preserve">Whanaungatanga – we are a team, and together a team of </w:t>
      </w:r>
      <w:proofErr w:type="gramStart"/>
      <w:r w:rsidRPr="0084362F">
        <w:rPr>
          <w:rFonts w:ascii="Arial" w:hAnsi="Arial" w:cs="Arial"/>
          <w:color w:val="000000" w:themeColor="text1"/>
        </w:rPr>
        <w:t>Teams .</w:t>
      </w:r>
      <w:proofErr w:type="gramEnd"/>
      <w:r w:rsidRPr="0084362F">
        <w:rPr>
          <w:rFonts w:ascii="Arial" w:hAnsi="Arial" w:cs="Arial"/>
          <w:color w:val="000000" w:themeColor="text1"/>
        </w:rPr>
        <w:t xml:space="preserve"> Regardless of our role we work together for a common purpose. We look out for each other and keep each other safe. “Whiria </w:t>
      </w:r>
      <w:proofErr w:type="spellStart"/>
      <w:r w:rsidRPr="0084362F">
        <w:rPr>
          <w:rFonts w:ascii="Arial" w:hAnsi="Arial" w:cs="Arial"/>
          <w:color w:val="000000" w:themeColor="text1"/>
        </w:rPr>
        <w:t>te</w:t>
      </w:r>
      <w:proofErr w:type="spellEnd"/>
      <w:r w:rsidRPr="0084362F">
        <w:rPr>
          <w:rFonts w:ascii="Arial" w:hAnsi="Arial" w:cs="Arial"/>
          <w:color w:val="000000" w:themeColor="text1"/>
        </w:rPr>
        <w:t xml:space="preserve"> tāngata” – we will weave our people together.  </w:t>
      </w:r>
    </w:p>
    <w:p w14:paraId="3B079992" w14:textId="77777777" w:rsidR="00E06CB7" w:rsidRPr="0084362F" w:rsidRDefault="00E06CB7" w:rsidP="0084362F">
      <w:pPr>
        <w:pStyle w:val="ListParagraph"/>
        <w:numPr>
          <w:ilvl w:val="2"/>
          <w:numId w:val="1"/>
        </w:numPr>
        <w:rPr>
          <w:rFonts w:ascii="Arial" w:hAnsi="Arial" w:cs="Arial"/>
          <w:color w:val="000000" w:themeColor="text1"/>
        </w:rPr>
      </w:pPr>
      <w:r w:rsidRPr="0084362F">
        <w:rPr>
          <w:rFonts w:ascii="Arial" w:hAnsi="Arial" w:cs="Arial"/>
          <w:color w:val="000000" w:themeColor="text1"/>
        </w:rPr>
        <w:t xml:space="preserve">Te Korowai </w:t>
      </w:r>
      <w:proofErr w:type="spellStart"/>
      <w:r w:rsidRPr="0084362F">
        <w:rPr>
          <w:rFonts w:ascii="Arial" w:hAnsi="Arial" w:cs="Arial"/>
          <w:color w:val="000000" w:themeColor="text1"/>
        </w:rPr>
        <w:t>Āhuru</w:t>
      </w:r>
      <w:proofErr w:type="spellEnd"/>
      <w:r w:rsidRPr="0084362F">
        <w:rPr>
          <w:rFonts w:ascii="Arial" w:hAnsi="Arial" w:cs="Arial"/>
          <w:color w:val="000000" w:themeColor="text1"/>
        </w:rPr>
        <w:t xml:space="preserve"> - a korowai (cloak) which seeks to provide safety and comfort to the workforce.   </w:t>
      </w:r>
    </w:p>
    <w:p w14:paraId="474A3841" w14:textId="77777777" w:rsidR="0004002B" w:rsidRPr="00ED5C07" w:rsidRDefault="0004002B" w:rsidP="0043575B">
      <w:pPr>
        <w:pStyle w:val="Heading2"/>
        <w:rPr>
          <w:rFonts w:ascii="Arial" w:hAnsi="Arial" w:cs="Arial"/>
          <w:sz w:val="32"/>
          <w:szCs w:val="32"/>
        </w:rPr>
      </w:pPr>
      <w:r w:rsidRPr="00ED5C07">
        <w:rPr>
          <w:rFonts w:ascii="Arial" w:hAnsi="Arial" w:cs="Arial"/>
          <w:sz w:val="32"/>
          <w:szCs w:val="32"/>
        </w:rPr>
        <w:t>Definitions</w:t>
      </w:r>
    </w:p>
    <w:p w14:paraId="055D0376" w14:textId="77777777" w:rsidR="3D349114" w:rsidRPr="00ED5C07" w:rsidRDefault="0043575B"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ED5C07">
        <w:rPr>
          <w:rFonts w:ascii="Arial" w:hAnsi="Arial" w:cs="Arial"/>
          <w:color w:val="000000" w:themeColor="text1"/>
        </w:rPr>
        <w:t>The following definitions are used for the purposes of this policy:</w:t>
      </w:r>
    </w:p>
    <w:tbl>
      <w:tblPr>
        <w:tblStyle w:val="TableGrid"/>
        <w:tblW w:w="81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839"/>
      </w:tblGrid>
      <w:tr w:rsidR="0043575B" w:rsidRPr="00ED5C07" w14:paraId="49442F01" w14:textId="77777777" w:rsidTr="7E497DE6">
        <w:tc>
          <w:tcPr>
            <w:tcW w:w="2268" w:type="dxa"/>
          </w:tcPr>
          <w:p w14:paraId="5C5A8448" w14:textId="7770A0AC" w:rsidR="0043575B" w:rsidRPr="00ED5C07" w:rsidRDefault="007A0175" w:rsidP="00550F25">
            <w:pPr>
              <w:rPr>
                <w:rFonts w:ascii="Arial" w:hAnsi="Arial" w:cs="Arial"/>
                <w:b/>
                <w:iCs/>
              </w:rPr>
            </w:pPr>
            <w:r>
              <w:rPr>
                <w:rFonts w:ascii="Arial" w:hAnsi="Arial" w:cs="Arial"/>
                <w:b/>
                <w:iCs/>
              </w:rPr>
              <w:t>Trusted Seismic Advisor</w:t>
            </w:r>
          </w:p>
        </w:tc>
        <w:tc>
          <w:tcPr>
            <w:tcW w:w="5839" w:type="dxa"/>
          </w:tcPr>
          <w:p w14:paraId="04DBBA62" w14:textId="77777777" w:rsidR="0043575B" w:rsidRPr="00CA1C10" w:rsidRDefault="003B0E83" w:rsidP="00550F25">
            <w:pPr>
              <w:rPr>
                <w:rFonts w:ascii="Arial" w:hAnsi="Arial" w:cs="Arial"/>
                <w:color w:val="000000" w:themeColor="text1"/>
              </w:rPr>
            </w:pPr>
            <w:r w:rsidRPr="00CA1C10">
              <w:rPr>
                <w:rFonts w:ascii="Arial" w:hAnsi="Arial" w:cs="Arial"/>
                <w:color w:val="000000" w:themeColor="text1"/>
              </w:rPr>
              <w:t xml:space="preserve">Designated person contracted or employed by Te </w:t>
            </w:r>
            <w:proofErr w:type="spellStart"/>
            <w:r w:rsidRPr="00CA1C10">
              <w:rPr>
                <w:rFonts w:ascii="Arial" w:hAnsi="Arial" w:cs="Arial"/>
                <w:color w:val="000000" w:themeColor="text1"/>
              </w:rPr>
              <w:t>Whatu</w:t>
            </w:r>
            <w:proofErr w:type="spellEnd"/>
            <w:r w:rsidRPr="00CA1C10">
              <w:rPr>
                <w:rFonts w:ascii="Arial" w:hAnsi="Arial" w:cs="Arial"/>
                <w:color w:val="000000" w:themeColor="text1"/>
              </w:rPr>
              <w:t xml:space="preserve"> Ora whose main purpose is to respond to specific building issues and provide general risk advice in terms of seismic matters. </w:t>
            </w:r>
          </w:p>
          <w:p w14:paraId="1791A3C3" w14:textId="36D0D72D" w:rsidR="005B0F25" w:rsidRPr="00ED5C07" w:rsidRDefault="005B0F25" w:rsidP="00550F25">
            <w:pPr>
              <w:rPr>
                <w:rFonts w:ascii="Arial" w:hAnsi="Arial" w:cs="Arial"/>
                <w:color w:val="000000"/>
              </w:rPr>
            </w:pPr>
          </w:p>
        </w:tc>
      </w:tr>
      <w:tr w:rsidR="00884189" w:rsidRPr="00ED5C07" w14:paraId="6A5D13D0" w14:textId="77777777" w:rsidTr="7E497DE6">
        <w:tc>
          <w:tcPr>
            <w:tcW w:w="2268" w:type="dxa"/>
          </w:tcPr>
          <w:p w14:paraId="57CC17EC" w14:textId="55A4743C" w:rsidR="00884189" w:rsidRPr="00ED5C07" w:rsidRDefault="00550F25" w:rsidP="00884189">
            <w:pPr>
              <w:spacing w:after="160"/>
              <w:rPr>
                <w:rFonts w:ascii="Arial" w:hAnsi="Arial" w:cs="Arial"/>
                <w:b/>
                <w:iCs/>
              </w:rPr>
            </w:pPr>
            <w:r>
              <w:rPr>
                <w:rFonts w:ascii="Arial" w:hAnsi="Arial" w:cs="Arial"/>
                <w:b/>
                <w:iCs/>
              </w:rPr>
              <w:lastRenderedPageBreak/>
              <w:t>IL</w:t>
            </w:r>
          </w:p>
        </w:tc>
        <w:tc>
          <w:tcPr>
            <w:tcW w:w="5839" w:type="dxa"/>
          </w:tcPr>
          <w:p w14:paraId="4BBE9B6A" w14:textId="1C1183C0" w:rsidR="00884189" w:rsidRPr="00ED5C07" w:rsidRDefault="00550F25" w:rsidP="00884189">
            <w:pPr>
              <w:spacing w:after="160"/>
              <w:rPr>
                <w:rFonts w:ascii="Arial" w:hAnsi="Arial" w:cs="Arial"/>
                <w:color w:val="000000"/>
              </w:rPr>
            </w:pPr>
            <w:r w:rsidRPr="00A072B8">
              <w:rPr>
                <w:rFonts w:ascii="Arial" w:hAnsi="Arial" w:cs="Arial"/>
                <w:color w:val="000000" w:themeColor="text1"/>
              </w:rPr>
              <w:t xml:space="preserve">Importance Level </w:t>
            </w:r>
            <w:r w:rsidR="00E9565A" w:rsidRPr="00A072B8">
              <w:rPr>
                <w:rFonts w:ascii="Arial" w:hAnsi="Arial" w:cs="Arial"/>
                <w:color w:val="000000" w:themeColor="text1"/>
              </w:rPr>
              <w:t>i.e.,</w:t>
            </w:r>
            <w:r w:rsidRPr="00A072B8">
              <w:rPr>
                <w:rFonts w:ascii="Arial" w:hAnsi="Arial" w:cs="Arial"/>
                <w:color w:val="000000" w:themeColor="text1"/>
              </w:rPr>
              <w:t xml:space="preserve"> IL2, IL3, IL4 as defined </w:t>
            </w:r>
            <w:r w:rsidRPr="00CF2B55">
              <w:rPr>
                <w:rFonts w:ascii="Arial" w:hAnsi="Arial" w:cs="Arial"/>
                <w:color w:val="2F5496" w:themeColor="accent1" w:themeShade="BF"/>
              </w:rPr>
              <w:t>in</w:t>
            </w:r>
            <w:r w:rsidRPr="00CF2B55">
              <w:rPr>
                <w:rStyle w:val="normaltextrun"/>
                <w:rFonts w:ascii="Arial" w:hAnsi="Arial" w:cs="Calibri"/>
                <w:color w:val="2F5496" w:themeColor="accent1" w:themeShade="BF"/>
                <w:shd w:val="clear" w:color="auto" w:fill="FFFFFF"/>
                <w:lang w:val="en-US"/>
              </w:rPr>
              <w:t xml:space="preserve"> </w:t>
            </w:r>
            <w:hyperlink r:id="rId14" w:tgtFrame="_blank" w:history="1">
              <w:r w:rsidRPr="00113C7F">
                <w:rPr>
                  <w:rStyle w:val="normaltextrun"/>
                  <w:rFonts w:ascii="Arial" w:hAnsi="Arial" w:cs="Calibri"/>
                  <w:color w:val="2F5496" w:themeColor="accent1" w:themeShade="BF"/>
                  <w:u w:val="single"/>
                  <w:shd w:val="clear" w:color="auto" w:fill="FFFFFF"/>
                  <w:lang w:val="en-US"/>
                </w:rPr>
                <w:t>AS/NZS 1170 Part 0 Structural Design Actions</w:t>
              </w:r>
            </w:hyperlink>
            <w:r w:rsidRPr="00113C7F">
              <w:rPr>
                <w:rStyle w:val="normaltextrun"/>
                <w:rFonts w:ascii="Calibri" w:hAnsi="Calibri" w:cs="Calibri"/>
                <w:color w:val="2F5496" w:themeColor="accent1" w:themeShade="BF"/>
                <w:u w:val="single"/>
                <w:shd w:val="clear" w:color="auto" w:fill="FFFFFF"/>
                <w:lang w:val="en-US"/>
              </w:rPr>
              <w:t>.</w:t>
            </w:r>
            <w:r w:rsidRPr="00113C7F">
              <w:rPr>
                <w:rStyle w:val="eop"/>
                <w:rFonts w:ascii="Calibri" w:hAnsi="Calibri" w:cs="Calibri"/>
                <w:color w:val="2F5496" w:themeColor="accent1" w:themeShade="BF"/>
                <w:shd w:val="clear" w:color="auto" w:fill="FFFFFF"/>
              </w:rPr>
              <w:t> </w:t>
            </w:r>
          </w:p>
        </w:tc>
      </w:tr>
      <w:tr w:rsidR="00A34AAA" w:rsidRPr="00ED5C07" w14:paraId="23784BC6" w14:textId="77777777" w:rsidTr="7E497DE6">
        <w:tc>
          <w:tcPr>
            <w:tcW w:w="2268" w:type="dxa"/>
          </w:tcPr>
          <w:p w14:paraId="7F9B2688" w14:textId="6D6FEEB1" w:rsidR="00A34AAA" w:rsidRPr="00BD1628" w:rsidRDefault="00CA1C10">
            <w:pPr>
              <w:spacing w:after="160"/>
              <w:rPr>
                <w:rFonts w:ascii="Arial" w:hAnsi="Arial" w:cs="Arial"/>
                <w:b/>
                <w:iCs/>
              </w:rPr>
            </w:pPr>
            <w:r w:rsidRPr="00BD1628">
              <w:rPr>
                <w:rFonts w:ascii="Arial" w:hAnsi="Arial" w:cs="Arial"/>
                <w:b/>
                <w:iCs/>
              </w:rPr>
              <w:t>%</w:t>
            </w:r>
            <w:r w:rsidR="008F2448" w:rsidRPr="00BD1628">
              <w:rPr>
                <w:rFonts w:ascii="Arial" w:hAnsi="Arial" w:cs="Arial"/>
                <w:b/>
                <w:iCs/>
              </w:rPr>
              <w:t>NBS</w:t>
            </w:r>
          </w:p>
        </w:tc>
        <w:tc>
          <w:tcPr>
            <w:tcW w:w="5839" w:type="dxa"/>
          </w:tcPr>
          <w:p w14:paraId="7FF98BE2" w14:textId="1DA08B23" w:rsidR="00A34AAA" w:rsidRPr="00ED5C07" w:rsidRDefault="2EF4681F">
            <w:pPr>
              <w:spacing w:after="160"/>
              <w:rPr>
                <w:rFonts w:ascii="Arial" w:hAnsi="Arial" w:cs="Arial"/>
                <w:color w:val="000000"/>
              </w:rPr>
            </w:pPr>
            <w:r>
              <w:rPr>
                <w:rFonts w:ascii="Arial" w:hAnsi="Arial" w:cs="Arial"/>
                <w:color w:val="000000" w:themeColor="text1"/>
              </w:rPr>
              <w:t>The seismic rati</w:t>
            </w:r>
            <w:r w:rsidR="4E6BA865">
              <w:rPr>
                <w:rFonts w:ascii="Arial" w:hAnsi="Arial" w:cs="Arial"/>
                <w:color w:val="000000" w:themeColor="text1"/>
              </w:rPr>
              <w:t>n</w:t>
            </w:r>
            <w:r>
              <w:rPr>
                <w:rFonts w:ascii="Arial" w:hAnsi="Arial" w:cs="Arial"/>
                <w:color w:val="000000" w:themeColor="text1"/>
              </w:rPr>
              <w:t>g of buildings expressed a</w:t>
            </w:r>
            <w:r w:rsidR="4632CD36">
              <w:rPr>
                <w:rFonts w:ascii="Arial" w:hAnsi="Arial" w:cs="Arial"/>
                <w:color w:val="000000" w:themeColor="text1"/>
              </w:rPr>
              <w:t>s</w:t>
            </w:r>
            <w:r>
              <w:rPr>
                <w:rFonts w:ascii="Arial" w:hAnsi="Arial" w:cs="Arial"/>
                <w:color w:val="000000" w:themeColor="text1"/>
              </w:rPr>
              <w:t xml:space="preserve"> a </w:t>
            </w:r>
            <w:r w:rsidR="4E6BA865">
              <w:rPr>
                <w:rFonts w:ascii="Arial" w:hAnsi="Arial" w:cs="Arial"/>
                <w:color w:val="000000" w:themeColor="text1"/>
              </w:rPr>
              <w:t>p</w:t>
            </w:r>
            <w:r w:rsidR="0B7BA097" w:rsidRPr="00CA1C10">
              <w:rPr>
                <w:rFonts w:ascii="Arial" w:hAnsi="Arial" w:cs="Arial"/>
                <w:color w:val="000000" w:themeColor="text1"/>
              </w:rPr>
              <w:t>ercentage of New Build</w:t>
            </w:r>
            <w:r w:rsidR="6051F4E3">
              <w:rPr>
                <w:rFonts w:ascii="Arial" w:hAnsi="Arial" w:cs="Arial"/>
                <w:color w:val="000000" w:themeColor="text1"/>
              </w:rPr>
              <w:t>ing</w:t>
            </w:r>
            <w:r w:rsidR="0B7BA097" w:rsidRPr="00CA1C10">
              <w:rPr>
                <w:rFonts w:ascii="Arial" w:hAnsi="Arial" w:cs="Arial"/>
                <w:color w:val="000000" w:themeColor="text1"/>
              </w:rPr>
              <w:t xml:space="preserve"> Standard.</w:t>
            </w:r>
            <w:r w:rsidR="0B7BA097">
              <w:rPr>
                <w:rStyle w:val="eop"/>
                <w:rFonts w:ascii="Calibri" w:hAnsi="Calibri" w:cs="Calibri"/>
                <w:color w:val="000000"/>
                <w:shd w:val="clear" w:color="auto" w:fill="FFFFFF"/>
              </w:rPr>
              <w:t> </w:t>
            </w:r>
          </w:p>
        </w:tc>
      </w:tr>
      <w:tr w:rsidR="00A34AAA" w:rsidRPr="00ED5C07" w14:paraId="5F0767F2" w14:textId="77777777" w:rsidTr="7E497DE6">
        <w:tc>
          <w:tcPr>
            <w:tcW w:w="2268" w:type="dxa"/>
          </w:tcPr>
          <w:p w14:paraId="194CBDEE" w14:textId="2740542E" w:rsidR="00A34AAA" w:rsidRPr="00ED5C07" w:rsidRDefault="008F2448">
            <w:pPr>
              <w:spacing w:after="160"/>
              <w:rPr>
                <w:rFonts w:ascii="Arial" w:hAnsi="Arial" w:cs="Arial"/>
                <w:b/>
                <w:iCs/>
              </w:rPr>
            </w:pPr>
            <w:bookmarkStart w:id="0" w:name="_Hlk141779786"/>
            <w:r>
              <w:rPr>
                <w:rFonts w:ascii="Arial" w:hAnsi="Arial" w:cs="Arial"/>
                <w:b/>
                <w:iCs/>
              </w:rPr>
              <w:t>EPB</w:t>
            </w:r>
          </w:p>
        </w:tc>
        <w:tc>
          <w:tcPr>
            <w:tcW w:w="5839" w:type="dxa"/>
          </w:tcPr>
          <w:p w14:paraId="3254171C" w14:textId="50D386A6" w:rsidR="00A34AAA" w:rsidRPr="00ED5C07" w:rsidRDefault="008F2448" w:rsidP="009C7FF9">
            <w:pPr>
              <w:spacing w:after="160"/>
              <w:rPr>
                <w:rFonts w:ascii="Arial" w:hAnsi="Arial" w:cs="Arial"/>
                <w:color w:val="000000"/>
              </w:rPr>
            </w:pPr>
            <w:r w:rsidRPr="008F2448">
              <w:rPr>
                <w:rFonts w:ascii="Arial" w:hAnsi="Arial" w:cs="Arial"/>
                <w:color w:val="000000" w:themeColor="text1"/>
              </w:rPr>
              <w:t xml:space="preserve">Earthquake Prone Building - a building that has </w:t>
            </w:r>
            <w:r w:rsidR="00846DE3">
              <w:rPr>
                <w:rFonts w:ascii="Arial" w:hAnsi="Arial" w:cs="Arial"/>
                <w:color w:val="000000" w:themeColor="text1"/>
              </w:rPr>
              <w:t>received</w:t>
            </w:r>
            <w:r w:rsidRPr="008F2448">
              <w:rPr>
                <w:rFonts w:ascii="Arial" w:hAnsi="Arial" w:cs="Arial"/>
                <w:color w:val="000000" w:themeColor="text1"/>
              </w:rPr>
              <w:t xml:space="preserve"> an earthquake prone building notice from a territorial authority.</w:t>
            </w:r>
            <w:r>
              <w:rPr>
                <w:rStyle w:val="eop"/>
                <w:rFonts w:ascii="Calibri" w:hAnsi="Calibri" w:cs="Calibri"/>
                <w:color w:val="000000"/>
                <w:shd w:val="clear" w:color="auto" w:fill="FFFFFF"/>
              </w:rPr>
              <w:t> </w:t>
            </w:r>
          </w:p>
        </w:tc>
      </w:tr>
      <w:tr w:rsidR="00DD2788" w:rsidRPr="00ED5C07" w14:paraId="6CC514BE" w14:textId="77777777" w:rsidTr="7E497DE6">
        <w:tc>
          <w:tcPr>
            <w:tcW w:w="2268" w:type="dxa"/>
          </w:tcPr>
          <w:p w14:paraId="2209A43E" w14:textId="1A131904" w:rsidR="00DD2788" w:rsidRDefault="00DD2788">
            <w:pPr>
              <w:rPr>
                <w:rFonts w:ascii="Arial" w:hAnsi="Arial" w:cs="Arial"/>
                <w:b/>
                <w:iCs/>
              </w:rPr>
            </w:pPr>
            <w:r>
              <w:rPr>
                <w:rFonts w:ascii="Arial" w:hAnsi="Arial" w:cs="Arial"/>
                <w:b/>
                <w:iCs/>
              </w:rPr>
              <w:t>Life Safety</w:t>
            </w:r>
          </w:p>
        </w:tc>
        <w:tc>
          <w:tcPr>
            <w:tcW w:w="5839" w:type="dxa"/>
          </w:tcPr>
          <w:p w14:paraId="66EEA88D" w14:textId="1B40EBFD" w:rsidR="00DD2788" w:rsidRPr="008F2448" w:rsidRDefault="00D45874" w:rsidP="009C7FF9">
            <w:pPr>
              <w:spacing w:after="160"/>
              <w:rPr>
                <w:rFonts w:ascii="Arial" w:hAnsi="Arial" w:cs="Arial"/>
                <w:color w:val="000000" w:themeColor="text1"/>
              </w:rPr>
            </w:pPr>
            <w:r>
              <w:rPr>
                <w:rFonts w:ascii="Arial" w:hAnsi="Arial" w:cs="Arial"/>
                <w:color w:val="000000" w:themeColor="text1"/>
              </w:rPr>
              <w:t>The exposure of</w:t>
            </w:r>
            <w:r w:rsidR="004C29AB" w:rsidRPr="004C29AB">
              <w:rPr>
                <w:rFonts w:ascii="Arial" w:hAnsi="Arial" w:cs="Arial"/>
                <w:color w:val="000000" w:themeColor="text1"/>
              </w:rPr>
              <w:t xml:space="preserve"> people to injury or death from the failure of structural or non</w:t>
            </w:r>
            <w:r>
              <w:rPr>
                <w:rFonts w:ascii="Arial" w:hAnsi="Arial" w:cs="Arial"/>
                <w:color w:val="000000" w:themeColor="text1"/>
              </w:rPr>
              <w:t>-</w:t>
            </w:r>
            <w:r w:rsidR="004C29AB" w:rsidRPr="004C29AB">
              <w:rPr>
                <w:rFonts w:ascii="Arial" w:hAnsi="Arial" w:cs="Arial"/>
                <w:color w:val="000000" w:themeColor="text1"/>
              </w:rPr>
              <w:t>structural elements or their connections during earthquakes</w:t>
            </w:r>
            <w:r>
              <w:rPr>
                <w:rFonts w:ascii="Arial" w:hAnsi="Arial" w:cs="Arial"/>
                <w:color w:val="000000" w:themeColor="text1"/>
              </w:rPr>
              <w:t>.</w:t>
            </w:r>
          </w:p>
        </w:tc>
      </w:tr>
      <w:bookmarkEnd w:id="0"/>
      <w:tr w:rsidR="003B0E83" w:rsidRPr="00ED5C07" w14:paraId="4EAD3E8B" w14:textId="77777777" w:rsidTr="7E497DE6">
        <w:tc>
          <w:tcPr>
            <w:tcW w:w="2268" w:type="dxa"/>
          </w:tcPr>
          <w:p w14:paraId="4A92C2D7" w14:textId="389D3DB2" w:rsidR="003B0E83" w:rsidRPr="00ED5C07" w:rsidRDefault="00621672" w:rsidP="0043575B">
            <w:pPr>
              <w:rPr>
                <w:rFonts w:ascii="Arial" w:hAnsi="Arial" w:cs="Arial"/>
                <w:b/>
                <w:iCs/>
              </w:rPr>
            </w:pPr>
            <w:r>
              <w:rPr>
                <w:rFonts w:ascii="Arial" w:hAnsi="Arial" w:cs="Arial"/>
                <w:b/>
                <w:iCs/>
              </w:rPr>
              <w:t>N</w:t>
            </w:r>
            <w:r>
              <w:rPr>
                <w:b/>
                <w:iCs/>
              </w:rPr>
              <w:t>on-structural Elements</w:t>
            </w:r>
          </w:p>
        </w:tc>
        <w:tc>
          <w:tcPr>
            <w:tcW w:w="5839" w:type="dxa"/>
          </w:tcPr>
          <w:p w14:paraId="7B49862C" w14:textId="20801B0F" w:rsidR="003B0E83" w:rsidRPr="00ED5C07" w:rsidRDefault="009049C3" w:rsidP="009C7FF9">
            <w:pPr>
              <w:spacing w:after="160"/>
              <w:rPr>
                <w:rFonts w:ascii="Arial" w:hAnsi="Arial" w:cs="Arial"/>
                <w:color w:val="000000"/>
              </w:rPr>
            </w:pPr>
            <w:r w:rsidRPr="009C7FF9">
              <w:rPr>
                <w:rFonts w:ascii="Arial" w:hAnsi="Arial" w:cs="Arial"/>
                <w:color w:val="000000" w:themeColor="text1"/>
              </w:rPr>
              <w:t>An element within the building that is not considered to be part of either the primary or secondary structure (</w:t>
            </w:r>
            <w:proofErr w:type="spellStart"/>
            <w:r w:rsidRPr="009C7FF9">
              <w:rPr>
                <w:rFonts w:ascii="Arial" w:hAnsi="Arial" w:cs="Arial"/>
                <w:color w:val="000000" w:themeColor="text1"/>
              </w:rPr>
              <w:t>eg.</w:t>
            </w:r>
            <w:proofErr w:type="spellEnd"/>
            <w:r w:rsidRPr="009C7FF9">
              <w:rPr>
                <w:rFonts w:ascii="Arial" w:hAnsi="Arial" w:cs="Arial"/>
                <w:color w:val="000000" w:themeColor="text1"/>
              </w:rPr>
              <w:t xml:space="preserve"> ceilings and lights, partition walls, cladding, building services including lifts and pipe runs).</w:t>
            </w:r>
          </w:p>
        </w:tc>
      </w:tr>
      <w:tr w:rsidR="00550F25" w:rsidRPr="00ED5C07" w14:paraId="03075139" w14:textId="77777777" w:rsidTr="7E497DE6">
        <w:tc>
          <w:tcPr>
            <w:tcW w:w="2268" w:type="dxa"/>
          </w:tcPr>
          <w:p w14:paraId="373E4942" w14:textId="5B45291B" w:rsidR="00550F25" w:rsidRPr="00ED5C07" w:rsidRDefault="00CC3914">
            <w:pPr>
              <w:spacing w:after="160"/>
              <w:rPr>
                <w:rFonts w:ascii="Arial" w:hAnsi="Arial" w:cs="Arial"/>
                <w:b/>
                <w:iCs/>
              </w:rPr>
            </w:pPr>
            <w:r>
              <w:rPr>
                <w:rFonts w:ascii="Arial" w:hAnsi="Arial" w:cs="Arial"/>
                <w:b/>
                <w:iCs/>
              </w:rPr>
              <w:t>Priority Response Agreement</w:t>
            </w:r>
          </w:p>
        </w:tc>
        <w:tc>
          <w:tcPr>
            <w:tcW w:w="5839" w:type="dxa"/>
          </w:tcPr>
          <w:p w14:paraId="4D37F685" w14:textId="45520E56" w:rsidR="00550F25" w:rsidRPr="00CC3914" w:rsidRDefault="00CC3914" w:rsidP="00CC3914">
            <w:pPr>
              <w:rPr>
                <w:rFonts w:ascii="Arial" w:hAnsi="Arial" w:cs="Arial"/>
                <w:color w:val="000000" w:themeColor="text1"/>
              </w:rPr>
            </w:pPr>
            <w:r w:rsidRPr="00CC3914">
              <w:rPr>
                <w:rFonts w:ascii="Arial" w:hAnsi="Arial" w:cs="Arial"/>
                <w:color w:val="000000" w:themeColor="text1"/>
              </w:rPr>
              <w:t xml:space="preserve">Contract arrangements with engineers for </w:t>
            </w:r>
            <w:r w:rsidR="007D496F">
              <w:rPr>
                <w:rFonts w:ascii="Arial" w:hAnsi="Arial" w:cs="Arial"/>
                <w:color w:val="000000" w:themeColor="text1"/>
              </w:rPr>
              <w:t xml:space="preserve">the </w:t>
            </w:r>
            <w:r w:rsidRPr="00CC3914">
              <w:rPr>
                <w:rFonts w:ascii="Arial" w:hAnsi="Arial" w:cs="Arial"/>
                <w:color w:val="000000" w:themeColor="text1"/>
              </w:rPr>
              <w:t>post-event evaluation of buildings. </w:t>
            </w:r>
          </w:p>
          <w:p w14:paraId="24F5C15A" w14:textId="77777777" w:rsidR="00550F25" w:rsidRPr="00ED5C07" w:rsidRDefault="00550F25" w:rsidP="00CC3914">
            <w:pPr>
              <w:rPr>
                <w:rFonts w:ascii="Arial" w:hAnsi="Arial" w:cs="Arial"/>
                <w:color w:val="000000"/>
              </w:rPr>
            </w:pPr>
          </w:p>
        </w:tc>
      </w:tr>
      <w:tr w:rsidR="00550F25" w:rsidRPr="00ED5C07" w14:paraId="05EA4581" w14:textId="77777777" w:rsidTr="7E497DE6">
        <w:tc>
          <w:tcPr>
            <w:tcW w:w="2268" w:type="dxa"/>
          </w:tcPr>
          <w:p w14:paraId="448AD625" w14:textId="689D2EA1" w:rsidR="00550F25" w:rsidRPr="00ED5C07" w:rsidRDefault="00CC3914" w:rsidP="004F715C">
            <w:pPr>
              <w:rPr>
                <w:rFonts w:ascii="Arial" w:hAnsi="Arial" w:cs="Arial"/>
                <w:b/>
                <w:iCs/>
              </w:rPr>
            </w:pPr>
            <w:r>
              <w:rPr>
                <w:rFonts w:ascii="Arial" w:hAnsi="Arial" w:cs="Arial"/>
                <w:b/>
                <w:iCs/>
              </w:rPr>
              <w:t>Seismic Hazard Area</w:t>
            </w:r>
          </w:p>
        </w:tc>
        <w:tc>
          <w:tcPr>
            <w:tcW w:w="5839" w:type="dxa"/>
          </w:tcPr>
          <w:p w14:paraId="26A79420" w14:textId="5432FA5F" w:rsidR="00550F25" w:rsidRPr="00ED5C07" w:rsidRDefault="004F715C" w:rsidP="004F715C">
            <w:pPr>
              <w:rPr>
                <w:rFonts w:ascii="Arial" w:hAnsi="Arial" w:cs="Arial"/>
                <w:color w:val="000000"/>
              </w:rPr>
            </w:pPr>
            <w:r w:rsidRPr="00A072B8">
              <w:rPr>
                <w:rFonts w:ascii="Arial" w:hAnsi="Arial" w:cs="Arial"/>
                <w:color w:val="000000" w:themeColor="text1"/>
              </w:rPr>
              <w:t>Areas of Low, Medium and High seismic risk (hazard) as defined in</w:t>
            </w:r>
            <w:r w:rsidRPr="00113C7F">
              <w:rPr>
                <w:rFonts w:ascii="Calibri" w:eastAsia="Times New Roman" w:hAnsi="Calibri" w:cs="Calibri"/>
                <w:color w:val="000000"/>
                <w:lang w:val="en-US" w:eastAsia="en-NZ"/>
              </w:rPr>
              <w:t xml:space="preserve"> </w:t>
            </w:r>
            <w:hyperlink r:id="rId15" w:tgtFrame="_blank" w:history="1">
              <w:r w:rsidRPr="00976CCE">
                <w:rPr>
                  <w:rFonts w:ascii="Arial" w:eastAsia="Times New Roman" w:hAnsi="Arial" w:cs="Calibri"/>
                  <w:color w:val="2F5496" w:themeColor="accent1" w:themeShade="BF"/>
                  <w:u w:val="single"/>
                  <w:lang w:val="en-US" w:eastAsia="en-NZ"/>
                </w:rPr>
                <w:t>Section 133AD of the Building Act</w:t>
              </w:r>
            </w:hyperlink>
            <w:r w:rsidRPr="00976CCE">
              <w:rPr>
                <w:rFonts w:ascii="Arial" w:eastAsia="Times New Roman" w:hAnsi="Arial" w:cs="Calibri"/>
                <w:color w:val="2F5496" w:themeColor="accent1" w:themeShade="BF"/>
                <w:u w:val="single"/>
                <w:lang w:val="en-US" w:eastAsia="en-NZ"/>
              </w:rPr>
              <w:t>.</w:t>
            </w:r>
            <w:r w:rsidRPr="00CF2B55">
              <w:rPr>
                <w:rFonts w:ascii="Calibri" w:eastAsia="Times New Roman" w:hAnsi="Calibri" w:cs="Calibri"/>
                <w:color w:val="2F5496" w:themeColor="accent1" w:themeShade="BF"/>
                <w:lang w:eastAsia="en-NZ"/>
              </w:rPr>
              <w:t> </w:t>
            </w:r>
          </w:p>
        </w:tc>
      </w:tr>
    </w:tbl>
    <w:tbl>
      <w:tblPr>
        <w:tblW w:w="849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240"/>
      </w:tblGrid>
      <w:tr w:rsidR="004F715C" w:rsidRPr="004F715C" w14:paraId="5183C118" w14:textId="77777777" w:rsidTr="004F715C">
        <w:trPr>
          <w:trHeight w:val="300"/>
        </w:trPr>
        <w:tc>
          <w:tcPr>
            <w:tcW w:w="2250" w:type="dxa"/>
            <w:tcBorders>
              <w:top w:val="nil"/>
              <w:left w:val="nil"/>
              <w:bottom w:val="nil"/>
              <w:right w:val="nil"/>
            </w:tcBorders>
            <w:shd w:val="clear" w:color="auto" w:fill="auto"/>
            <w:hideMark/>
          </w:tcPr>
          <w:p w14:paraId="7922B699" w14:textId="380241C1" w:rsidR="004F715C" w:rsidRPr="004F715C" w:rsidRDefault="004F715C" w:rsidP="004F715C">
            <w:pPr>
              <w:spacing w:after="0" w:line="240" w:lineRule="auto"/>
              <w:textAlignment w:val="baseline"/>
              <w:rPr>
                <w:rFonts w:ascii="Segoe UI" w:eastAsia="Times New Roman" w:hAnsi="Segoe UI" w:cs="Segoe UI"/>
                <w:sz w:val="18"/>
                <w:szCs w:val="18"/>
                <w:lang w:eastAsia="en-NZ"/>
              </w:rPr>
            </w:pPr>
          </w:p>
        </w:tc>
        <w:tc>
          <w:tcPr>
            <w:tcW w:w="6240" w:type="dxa"/>
            <w:tcBorders>
              <w:top w:val="nil"/>
              <w:left w:val="nil"/>
              <w:bottom w:val="nil"/>
              <w:right w:val="nil"/>
            </w:tcBorders>
            <w:shd w:val="clear" w:color="auto" w:fill="auto"/>
            <w:hideMark/>
          </w:tcPr>
          <w:p w14:paraId="43C401BE" w14:textId="4E41691D" w:rsidR="004F715C" w:rsidRPr="004F715C" w:rsidRDefault="004F715C" w:rsidP="004F715C">
            <w:pPr>
              <w:spacing w:after="0" w:line="240" w:lineRule="auto"/>
              <w:textAlignment w:val="baseline"/>
              <w:rPr>
                <w:rFonts w:ascii="Segoe UI" w:eastAsia="Times New Roman" w:hAnsi="Segoe UI" w:cs="Segoe UI"/>
                <w:sz w:val="18"/>
                <w:szCs w:val="18"/>
                <w:lang w:eastAsia="en-NZ"/>
              </w:rPr>
            </w:pPr>
          </w:p>
        </w:tc>
      </w:tr>
    </w:tbl>
    <w:p w14:paraId="0FCDF865" w14:textId="206B964D" w:rsidR="0004002B" w:rsidRPr="009C7FF9" w:rsidRDefault="00BC26FD" w:rsidP="0043575B">
      <w:pPr>
        <w:pStyle w:val="Heading2"/>
        <w:rPr>
          <w:rFonts w:ascii="Arial" w:hAnsi="Arial" w:cs="Arial"/>
          <w:sz w:val="32"/>
          <w:szCs w:val="32"/>
        </w:rPr>
      </w:pPr>
      <w:r w:rsidRPr="009C7FF9">
        <w:rPr>
          <w:rFonts w:ascii="Arial" w:hAnsi="Arial" w:cs="Arial"/>
          <w:sz w:val="32"/>
          <w:szCs w:val="32"/>
        </w:rPr>
        <w:t>Seismic risk management</w:t>
      </w:r>
    </w:p>
    <w:p w14:paraId="37FA908D" w14:textId="5660D5B0" w:rsidR="00A25CBC" w:rsidRDefault="00EA2675"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Pr>
          <w:rFonts w:ascii="Arial" w:hAnsi="Arial" w:cs="Arial"/>
          <w:color w:val="000000" w:themeColor="text1"/>
        </w:rPr>
        <w:t xml:space="preserve">The seismic risk management of buildings </w:t>
      </w:r>
      <w:r w:rsidR="0004087F">
        <w:rPr>
          <w:rFonts w:ascii="Arial" w:hAnsi="Arial" w:cs="Arial"/>
          <w:color w:val="000000" w:themeColor="text1"/>
        </w:rPr>
        <w:t xml:space="preserve">involves </w:t>
      </w:r>
      <w:r w:rsidR="00A25CBC">
        <w:rPr>
          <w:rFonts w:ascii="Arial" w:hAnsi="Arial" w:cs="Arial"/>
          <w:color w:val="000000" w:themeColor="text1"/>
        </w:rPr>
        <w:t>obtaining and communicating seismic information on buildings occupied</w:t>
      </w:r>
      <w:r w:rsidR="00721BF1">
        <w:rPr>
          <w:rFonts w:ascii="Arial" w:hAnsi="Arial" w:cs="Arial"/>
          <w:color w:val="000000" w:themeColor="text1"/>
        </w:rPr>
        <w:t xml:space="preserve"> by Te </w:t>
      </w:r>
      <w:proofErr w:type="spellStart"/>
      <w:r w:rsidR="00721BF1">
        <w:rPr>
          <w:rFonts w:ascii="Arial" w:hAnsi="Arial" w:cs="Arial"/>
          <w:color w:val="000000" w:themeColor="text1"/>
        </w:rPr>
        <w:t>Whatu</w:t>
      </w:r>
      <w:proofErr w:type="spellEnd"/>
      <w:r w:rsidR="00721BF1">
        <w:rPr>
          <w:rFonts w:ascii="Arial" w:hAnsi="Arial" w:cs="Arial"/>
          <w:color w:val="000000" w:themeColor="text1"/>
        </w:rPr>
        <w:t xml:space="preserve"> Ora staff and </w:t>
      </w:r>
      <w:proofErr w:type="gramStart"/>
      <w:r w:rsidR="00721BF1">
        <w:rPr>
          <w:rFonts w:ascii="Arial" w:hAnsi="Arial" w:cs="Arial"/>
          <w:color w:val="000000" w:themeColor="text1"/>
        </w:rPr>
        <w:t>patients, and</w:t>
      </w:r>
      <w:proofErr w:type="gramEnd"/>
      <w:r w:rsidR="00721BF1">
        <w:rPr>
          <w:rFonts w:ascii="Arial" w:hAnsi="Arial" w:cs="Arial"/>
          <w:color w:val="000000" w:themeColor="text1"/>
        </w:rPr>
        <w:t xml:space="preserve"> developing and implementing </w:t>
      </w:r>
      <w:r w:rsidR="0004087F">
        <w:rPr>
          <w:rFonts w:ascii="Arial" w:hAnsi="Arial" w:cs="Arial"/>
          <w:color w:val="000000" w:themeColor="text1"/>
        </w:rPr>
        <w:t>plans to manage risks where identified.</w:t>
      </w:r>
    </w:p>
    <w:p w14:paraId="367DE53D" w14:textId="1394B884" w:rsidR="0004087F" w:rsidRDefault="0004087F"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Pr>
          <w:rFonts w:ascii="Arial" w:hAnsi="Arial" w:cs="Arial"/>
          <w:color w:val="000000" w:themeColor="text1"/>
        </w:rPr>
        <w:t xml:space="preserve">This encompasses </w:t>
      </w:r>
      <w:r w:rsidR="00BB1932">
        <w:rPr>
          <w:rFonts w:ascii="Arial" w:hAnsi="Arial" w:cs="Arial"/>
          <w:color w:val="000000" w:themeColor="text1"/>
        </w:rPr>
        <w:t xml:space="preserve">building structural and non-structural elements, and specialist medical equipment that is directly connected to the structure.  </w:t>
      </w:r>
      <w:r w:rsidR="004D443C">
        <w:rPr>
          <w:rFonts w:ascii="Arial" w:hAnsi="Arial" w:cs="Arial"/>
          <w:color w:val="000000" w:themeColor="text1"/>
        </w:rPr>
        <w:t xml:space="preserve">The seismic risk associated with contents items not directly connected to the structure is addressed </w:t>
      </w:r>
      <w:r w:rsidR="003D6AC5">
        <w:rPr>
          <w:rFonts w:ascii="Arial" w:hAnsi="Arial" w:cs="Arial"/>
          <w:color w:val="000000" w:themeColor="text1"/>
        </w:rPr>
        <w:t>via Health and Safety procedures.</w:t>
      </w:r>
    </w:p>
    <w:p w14:paraId="15E66341" w14:textId="48AD35ED" w:rsidR="00170B4C" w:rsidRPr="000D1AAB" w:rsidRDefault="000D1AAB"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0D1AAB">
        <w:rPr>
          <w:rFonts w:ascii="Arial" w:hAnsi="Arial" w:cs="Arial"/>
          <w:color w:val="000000" w:themeColor="text1"/>
        </w:rPr>
        <w:t>The seismic strengthening of operational health facilities is challenging, particularly for those delivering acute services. In many cases strengthening is not a practical option, and seismic risk may be able to be mitigated by other options such as the development of new facilities, or re-purposing of the existing buildings (with or without strengthening).  </w:t>
      </w:r>
    </w:p>
    <w:p w14:paraId="58AE3017" w14:textId="3CF00942" w:rsidR="00C175CF" w:rsidRPr="003703BB" w:rsidRDefault="00A3031E"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A3031E">
        <w:rPr>
          <w:rFonts w:ascii="Arial" w:hAnsi="Arial" w:cs="Arial"/>
          <w:color w:val="000000" w:themeColor="text1"/>
        </w:rPr>
        <w:t>Specific mitigation projects need to be validated as part of asset management planning including site-wide master planning, with careful consideration of practicality, feasibility, buildability, and value-for-money in relation to the ongoing delivery of clinical functions. </w:t>
      </w:r>
    </w:p>
    <w:p w14:paraId="427A7221" w14:textId="46E5E5AB" w:rsidR="006823AC" w:rsidRPr="003C194A" w:rsidRDefault="008A2C4D" w:rsidP="004D4483">
      <w:pPr>
        <w:pStyle w:val="Heading2"/>
      </w:pPr>
      <w:bookmarkStart w:id="1" w:name="_Hlk141781842"/>
      <w:r w:rsidRPr="003C194A">
        <w:t xml:space="preserve">Updating seismic information </w:t>
      </w:r>
      <w:r w:rsidR="006823AC" w:rsidRPr="003C194A">
        <w:t xml:space="preserve"> </w:t>
      </w:r>
    </w:p>
    <w:p w14:paraId="6E793AB2" w14:textId="5FA00463" w:rsidR="00D77DC6" w:rsidRPr="002171CA" w:rsidRDefault="00757C6C" w:rsidP="00075CCC">
      <w:pPr>
        <w:pStyle w:val="ListParagraph"/>
        <w:numPr>
          <w:ilvl w:val="0"/>
          <w:numId w:val="1"/>
        </w:numPr>
        <w:autoSpaceDE w:val="0"/>
        <w:autoSpaceDN w:val="0"/>
        <w:adjustRightInd w:val="0"/>
        <w:spacing w:line="240" w:lineRule="auto"/>
        <w:ind w:left="425" w:hanging="425"/>
        <w:contextualSpacing w:val="0"/>
        <w:rPr>
          <w:rStyle w:val="normaltextrun"/>
          <w:rFonts w:ascii="Arial" w:hAnsi="Arial" w:cs="Arial"/>
          <w:color w:val="000000" w:themeColor="text1"/>
        </w:rPr>
      </w:pPr>
      <w:r w:rsidRPr="00757C6C">
        <w:rPr>
          <w:rFonts w:ascii="Arial" w:hAnsi="Arial" w:cs="Arial"/>
          <w:color w:val="000000" w:themeColor="text1"/>
        </w:rPr>
        <w:t xml:space="preserve">Updating national seismic information is to be undertaken as a priority. This may involve revisiting older assessments were necessary to take account of heavier non-structural elements and other considerations </w:t>
      </w:r>
      <w:r w:rsidR="00FE0908">
        <w:rPr>
          <w:rFonts w:ascii="Arial" w:hAnsi="Arial" w:cs="Arial"/>
          <w:color w:val="000000" w:themeColor="text1"/>
        </w:rPr>
        <w:t>from</w:t>
      </w:r>
      <w:r w:rsidR="00FE0908" w:rsidRPr="00757C6C">
        <w:rPr>
          <w:rFonts w:ascii="Arial" w:hAnsi="Arial" w:cs="Arial"/>
          <w:color w:val="000000" w:themeColor="text1"/>
        </w:rPr>
        <w:t xml:space="preserve"> </w:t>
      </w:r>
      <w:r w:rsidRPr="00757C6C">
        <w:rPr>
          <w:rFonts w:ascii="Arial" w:hAnsi="Arial" w:cs="Arial"/>
          <w:color w:val="000000" w:themeColor="text1"/>
        </w:rPr>
        <w:t xml:space="preserve">the </w:t>
      </w:r>
      <w:hyperlink r:id="rId16" w:tgtFrame="_blank" w:history="1">
        <w:r w:rsidR="002171CA" w:rsidRPr="00976CCE">
          <w:rPr>
            <w:rStyle w:val="normaltextrun"/>
            <w:rFonts w:ascii="Arial" w:hAnsi="Arial" w:cs="Calibri"/>
            <w:color w:val="2F5496" w:themeColor="accent1" w:themeShade="BF"/>
            <w:u w:val="single"/>
            <w:shd w:val="clear" w:color="auto" w:fill="FFFFFF"/>
            <w:lang w:val="en-US"/>
          </w:rPr>
          <w:t>2017/18 national seismic assessment guidance</w:t>
        </w:r>
      </w:hyperlink>
      <w:r w:rsidR="002171CA" w:rsidRPr="00976CCE">
        <w:rPr>
          <w:rStyle w:val="normaltextrun"/>
          <w:rFonts w:ascii="Arial" w:hAnsi="Arial" w:cs="Calibri"/>
          <w:color w:val="2F5496" w:themeColor="accent1" w:themeShade="BF"/>
          <w:shd w:val="clear" w:color="auto" w:fill="FFFFFF"/>
          <w:lang w:val="en-US"/>
        </w:rPr>
        <w:t>.</w:t>
      </w:r>
    </w:p>
    <w:p w14:paraId="3260AC2B" w14:textId="70AE0E5D" w:rsidR="002171CA" w:rsidRPr="00283969" w:rsidRDefault="00AF08F7" w:rsidP="00075CCC">
      <w:pPr>
        <w:pStyle w:val="ListParagraph"/>
        <w:numPr>
          <w:ilvl w:val="0"/>
          <w:numId w:val="1"/>
        </w:numPr>
        <w:autoSpaceDE w:val="0"/>
        <w:autoSpaceDN w:val="0"/>
        <w:adjustRightInd w:val="0"/>
        <w:spacing w:line="240" w:lineRule="auto"/>
        <w:ind w:left="425" w:hanging="425"/>
        <w:contextualSpacing w:val="0"/>
      </w:pPr>
      <w:r w:rsidRPr="00283969">
        <w:rPr>
          <w:rFonts w:ascii="Arial" w:hAnsi="Arial" w:cs="Arial"/>
          <w:color w:val="000000" w:themeColor="text1"/>
        </w:rPr>
        <w:lastRenderedPageBreak/>
        <w:t>Additional seismic assessments are to be undertaken on a priority basis that reflects seismic hazard, Importance Level, building typology and the requirements of hospital master planning.  </w:t>
      </w:r>
    </w:p>
    <w:p w14:paraId="606A0550" w14:textId="5268C017" w:rsidR="00AF08F7" w:rsidRPr="00283969" w:rsidRDefault="00AF08F7" w:rsidP="00075CCC">
      <w:pPr>
        <w:pStyle w:val="ListParagraph"/>
        <w:numPr>
          <w:ilvl w:val="0"/>
          <w:numId w:val="1"/>
        </w:numPr>
        <w:autoSpaceDE w:val="0"/>
        <w:autoSpaceDN w:val="0"/>
        <w:adjustRightInd w:val="0"/>
        <w:spacing w:line="240" w:lineRule="auto"/>
        <w:ind w:left="425" w:hanging="425"/>
        <w:contextualSpacing w:val="0"/>
      </w:pPr>
      <w:r w:rsidRPr="00283969">
        <w:rPr>
          <w:rFonts w:ascii="Arial" w:hAnsi="Arial" w:cs="Arial"/>
          <w:color w:val="000000" w:themeColor="text1"/>
        </w:rPr>
        <w:t>The Seismic Risk Management Strategy will outline the prioritisation of obtaining additional seismic assessments, and the form of those assessments. This strategy outlines building typologies that are to be used to categorise health facilities that have already been assessed and to prioritise and guide the scope of further seismic assessments of buildings that have yet to be assessed. </w:t>
      </w:r>
    </w:p>
    <w:p w14:paraId="179E21C7" w14:textId="778744F5" w:rsidR="00AF08F7" w:rsidRPr="00283969" w:rsidRDefault="00283969" w:rsidP="00075CCC">
      <w:pPr>
        <w:pStyle w:val="ListParagraph"/>
        <w:numPr>
          <w:ilvl w:val="0"/>
          <w:numId w:val="1"/>
        </w:numPr>
        <w:autoSpaceDE w:val="0"/>
        <w:autoSpaceDN w:val="0"/>
        <w:adjustRightInd w:val="0"/>
        <w:spacing w:line="240" w:lineRule="auto"/>
        <w:ind w:left="425" w:hanging="425"/>
        <w:contextualSpacing w:val="0"/>
      </w:pPr>
      <w:r w:rsidRPr="00283969">
        <w:rPr>
          <w:rFonts w:ascii="Arial" w:hAnsi="Arial" w:cs="Arial"/>
          <w:color w:val="000000" w:themeColor="text1"/>
        </w:rPr>
        <w:t xml:space="preserve">All new seismic assessments shall be commissioned via the standard Te </w:t>
      </w:r>
      <w:proofErr w:type="spellStart"/>
      <w:r w:rsidRPr="00283969">
        <w:rPr>
          <w:rFonts w:ascii="Arial" w:hAnsi="Arial" w:cs="Arial"/>
          <w:color w:val="000000" w:themeColor="text1"/>
        </w:rPr>
        <w:t>Whatu</w:t>
      </w:r>
      <w:proofErr w:type="spellEnd"/>
      <w:r w:rsidRPr="00283969">
        <w:rPr>
          <w:rFonts w:ascii="Arial" w:hAnsi="Arial" w:cs="Arial"/>
          <w:color w:val="000000" w:themeColor="text1"/>
        </w:rPr>
        <w:t xml:space="preserve"> Ora briefing template. The assessment reports shall include a summary table in the Te </w:t>
      </w:r>
      <w:proofErr w:type="spellStart"/>
      <w:r w:rsidRPr="00283969">
        <w:rPr>
          <w:rFonts w:ascii="Arial" w:hAnsi="Arial" w:cs="Arial"/>
          <w:color w:val="000000" w:themeColor="text1"/>
        </w:rPr>
        <w:t>Whatu</w:t>
      </w:r>
      <w:proofErr w:type="spellEnd"/>
      <w:r w:rsidRPr="00283969">
        <w:rPr>
          <w:rFonts w:ascii="Arial" w:hAnsi="Arial" w:cs="Arial"/>
          <w:color w:val="000000" w:themeColor="text1"/>
        </w:rPr>
        <w:t xml:space="preserve"> Ora format. </w:t>
      </w:r>
    </w:p>
    <w:p w14:paraId="009D9172" w14:textId="77777777" w:rsidR="009517B4" w:rsidRDefault="00283969"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bookmarkStart w:id="2" w:name="_Hlk141780812"/>
      <w:r w:rsidRPr="00283969">
        <w:rPr>
          <w:rFonts w:ascii="Arial" w:hAnsi="Arial" w:cs="Arial"/>
          <w:color w:val="000000" w:themeColor="text1"/>
        </w:rPr>
        <w:t>All new assessments are to be submitted in draft form for review by the Trusted Seismic Advisor prior to finalisation. </w:t>
      </w:r>
    </w:p>
    <w:p w14:paraId="1B6D6AAF" w14:textId="7815ECA3" w:rsidR="00283969" w:rsidRDefault="009517B4" w:rsidP="009517B4">
      <w:pPr>
        <w:pStyle w:val="Heading2"/>
      </w:pPr>
      <w:bookmarkStart w:id="3" w:name="_Hlk141781018"/>
      <w:bookmarkEnd w:id="1"/>
      <w:bookmarkEnd w:id="2"/>
      <w:r>
        <w:t>Seismic performance objectives and requirements for new buildings</w:t>
      </w:r>
      <w:r w:rsidR="00283969" w:rsidRPr="00283969">
        <w:t> </w:t>
      </w:r>
    </w:p>
    <w:p w14:paraId="772092B7" w14:textId="188CA392" w:rsidR="006405F0" w:rsidRDefault="00C7208F" w:rsidP="00115142">
      <w:pPr>
        <w:pStyle w:val="ListParagraph"/>
        <w:numPr>
          <w:ilvl w:val="0"/>
          <w:numId w:val="1"/>
        </w:numPr>
        <w:autoSpaceDE w:val="0"/>
        <w:autoSpaceDN w:val="0"/>
        <w:adjustRightInd w:val="0"/>
        <w:spacing w:line="240" w:lineRule="auto"/>
        <w:ind w:left="425" w:hanging="425"/>
        <w:rPr>
          <w:rFonts w:ascii="Arial" w:hAnsi="Arial" w:cs="Arial"/>
          <w:color w:val="000000" w:themeColor="text1"/>
        </w:rPr>
      </w:pPr>
      <w:r>
        <w:rPr>
          <w:rFonts w:ascii="Arial" w:hAnsi="Arial" w:cs="Arial"/>
          <w:color w:val="000000" w:themeColor="text1"/>
        </w:rPr>
        <w:t>Thi</w:t>
      </w:r>
      <w:r w:rsidR="006405F0" w:rsidRPr="00FC495F">
        <w:rPr>
          <w:rFonts w:ascii="Arial" w:hAnsi="Arial" w:cs="Arial"/>
          <w:color w:val="000000" w:themeColor="text1"/>
        </w:rPr>
        <w:t xml:space="preserve">s policy also gives effect to the requirements of the national </w:t>
      </w:r>
      <w:r w:rsidR="006405F0">
        <w:rPr>
          <w:rFonts w:ascii="Arial" w:hAnsi="Arial" w:cs="Arial"/>
          <w:color w:val="000000" w:themeColor="text1"/>
        </w:rPr>
        <w:t>Design Guidance note: Seismic Technical Guidelines for the Design of Hospital Buildings</w:t>
      </w:r>
      <w:r w:rsidR="006405F0" w:rsidRPr="00FC495F">
        <w:rPr>
          <w:rFonts w:ascii="Arial" w:hAnsi="Arial" w:cs="Arial"/>
          <w:color w:val="000000" w:themeColor="text1"/>
        </w:rPr>
        <w:t xml:space="preserve"> (under development), which sets out the performance objectives and criteria for the design of new buildings.  </w:t>
      </w:r>
    </w:p>
    <w:p w14:paraId="53CC91B2" w14:textId="77777777" w:rsidR="00115142" w:rsidRPr="00115142" w:rsidRDefault="00115142" w:rsidP="00115142">
      <w:pPr>
        <w:pStyle w:val="ListParagraph"/>
        <w:autoSpaceDE w:val="0"/>
        <w:autoSpaceDN w:val="0"/>
        <w:adjustRightInd w:val="0"/>
        <w:spacing w:line="240" w:lineRule="auto"/>
        <w:ind w:left="425"/>
        <w:rPr>
          <w:rFonts w:ascii="Arial" w:hAnsi="Arial" w:cs="Arial"/>
          <w:color w:val="000000" w:themeColor="text1"/>
        </w:rPr>
      </w:pPr>
    </w:p>
    <w:p w14:paraId="5C7693F0" w14:textId="5B80D03B" w:rsidR="00AB515F" w:rsidRDefault="00EF4CAF"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sidRPr="00EF4CAF">
        <w:rPr>
          <w:rFonts w:ascii="Arial" w:hAnsi="Arial" w:cs="Arial"/>
          <w:color w:val="000000" w:themeColor="text1"/>
        </w:rPr>
        <w:t>Once established, the seismic performance objectives and criteria should be followed for the design of all new hospital buildings and strengthening of existing buildings. </w:t>
      </w:r>
    </w:p>
    <w:p w14:paraId="77C1514E" w14:textId="28CEDF4A" w:rsidR="00EF4CAF" w:rsidRDefault="00EF4CAF"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sidRPr="00EF4CAF">
        <w:rPr>
          <w:rFonts w:ascii="Arial" w:hAnsi="Arial" w:cs="Arial"/>
          <w:color w:val="000000" w:themeColor="text1"/>
        </w:rPr>
        <w:t>Prior to these requirements being formally established, the Trusted Seismic Advisor is to be involved in the preparation of project briefs for new hospital buildings. </w:t>
      </w:r>
    </w:p>
    <w:bookmarkEnd w:id="3"/>
    <w:p w14:paraId="2358CFD5" w14:textId="77777777" w:rsidR="006516C3" w:rsidRDefault="006516C3" w:rsidP="006516C3">
      <w:pPr>
        <w:pStyle w:val="ListParagraph"/>
        <w:autoSpaceDE w:val="0"/>
        <w:autoSpaceDN w:val="0"/>
        <w:adjustRightInd w:val="0"/>
        <w:spacing w:line="240" w:lineRule="auto"/>
        <w:ind w:left="426"/>
        <w:contextualSpacing w:val="0"/>
        <w:rPr>
          <w:rFonts w:ascii="Arial" w:hAnsi="Arial" w:cs="Arial"/>
          <w:color w:val="000000" w:themeColor="text1"/>
        </w:rPr>
      </w:pPr>
    </w:p>
    <w:p w14:paraId="35DDE5F3" w14:textId="21B4D6BC" w:rsidR="006516C3" w:rsidRDefault="006516C3" w:rsidP="006516C3">
      <w:pPr>
        <w:pStyle w:val="Heading2"/>
      </w:pPr>
      <w:r>
        <w:t>Seismic requirements for the strengthening of existing hospital buildings</w:t>
      </w:r>
    </w:p>
    <w:p w14:paraId="79020AEE" w14:textId="77777777" w:rsidR="006B04E0" w:rsidRPr="00C04E38" w:rsidRDefault="006B04E0" w:rsidP="00075CCC">
      <w:pPr>
        <w:pStyle w:val="ListParagraph"/>
        <w:numPr>
          <w:ilvl w:val="0"/>
          <w:numId w:val="1"/>
        </w:numPr>
        <w:autoSpaceDE w:val="0"/>
        <w:autoSpaceDN w:val="0"/>
        <w:adjustRightInd w:val="0"/>
        <w:spacing w:line="240" w:lineRule="auto"/>
        <w:ind w:left="426" w:hanging="426"/>
        <w:contextualSpacing w:val="0"/>
      </w:pPr>
      <w:r w:rsidRPr="00C04E38">
        <w:rPr>
          <w:rFonts w:ascii="Arial" w:hAnsi="Arial" w:cs="Arial"/>
          <w:color w:val="000000" w:themeColor="text1"/>
        </w:rPr>
        <w:t>Seismic mitigation is to be considered as part of site-wide master planning, with due consideration of regional service delivery planning. </w:t>
      </w:r>
    </w:p>
    <w:p w14:paraId="74D1F40A" w14:textId="00360E02" w:rsidR="00994C94" w:rsidRPr="005B47CB" w:rsidRDefault="00994C94" w:rsidP="00075CCC">
      <w:pPr>
        <w:pStyle w:val="ListParagraph"/>
        <w:numPr>
          <w:ilvl w:val="0"/>
          <w:numId w:val="1"/>
        </w:numPr>
        <w:autoSpaceDE w:val="0"/>
        <w:autoSpaceDN w:val="0"/>
        <w:adjustRightInd w:val="0"/>
        <w:spacing w:line="240" w:lineRule="auto"/>
        <w:ind w:left="426" w:hanging="426"/>
        <w:contextualSpacing w:val="0"/>
      </w:pPr>
      <w:r w:rsidRPr="005B47CB">
        <w:rPr>
          <w:rFonts w:ascii="Arial" w:hAnsi="Arial" w:cs="Arial"/>
          <w:color w:val="000000" w:themeColor="text1"/>
        </w:rPr>
        <w:t>T</w:t>
      </w:r>
      <w:r w:rsidR="006B04E0" w:rsidRPr="005B47CB">
        <w:rPr>
          <w:rFonts w:ascii="Arial" w:hAnsi="Arial" w:cs="Arial"/>
          <w:color w:val="000000" w:themeColor="text1"/>
        </w:rPr>
        <w:t>he initial focus for prioritising the planning of seismic risk mitigation is to be on buildings with life safety ratings less than 34%NBS and/or unlikely to support continued functionality, commencing with those in High Seismic hazard areas.  </w:t>
      </w:r>
    </w:p>
    <w:p w14:paraId="4415F06A" w14:textId="3F30732A" w:rsidR="006516C3" w:rsidRPr="00770190" w:rsidRDefault="00994C94" w:rsidP="00770190">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Pr>
          <w:rFonts w:ascii="Arial" w:hAnsi="Arial" w:cs="Arial"/>
          <w:color w:val="000000" w:themeColor="text1"/>
        </w:rPr>
        <w:t>The performance ob</w:t>
      </w:r>
      <w:r w:rsidR="00C04E38">
        <w:rPr>
          <w:rFonts w:ascii="Arial" w:hAnsi="Arial" w:cs="Arial"/>
          <w:color w:val="000000" w:themeColor="text1"/>
        </w:rPr>
        <w:t>jectives and criteria for the stren</w:t>
      </w:r>
      <w:r w:rsidR="00E42129">
        <w:rPr>
          <w:rFonts w:ascii="Arial" w:hAnsi="Arial" w:cs="Arial"/>
          <w:color w:val="000000" w:themeColor="text1"/>
        </w:rPr>
        <w:t xml:space="preserve">gthening </w:t>
      </w:r>
      <w:r w:rsidR="00C04E38">
        <w:rPr>
          <w:rFonts w:ascii="Arial" w:hAnsi="Arial" w:cs="Arial"/>
          <w:color w:val="000000" w:themeColor="text1"/>
        </w:rPr>
        <w:t xml:space="preserve">of existing buildings will be established in the </w:t>
      </w:r>
      <w:r w:rsidR="00991940">
        <w:rPr>
          <w:rStyle w:val="eop"/>
          <w:rFonts w:ascii="Arial" w:hAnsi="Arial" w:cs="Arial"/>
          <w:color w:val="000000" w:themeColor="text1"/>
        </w:rPr>
        <w:t>Design Guidance note: Seismic Technical Guidelines for the Design of Hospital Buildings</w:t>
      </w:r>
      <w:r w:rsidR="00991940" w:rsidRPr="00974947">
        <w:rPr>
          <w:rStyle w:val="eop"/>
          <w:rFonts w:ascii="Arial" w:hAnsi="Arial" w:cs="Arial"/>
          <w:color w:val="000000" w:themeColor="text1"/>
        </w:rPr>
        <w:t xml:space="preserve"> </w:t>
      </w:r>
      <w:r w:rsidR="00E42129" w:rsidRPr="00770190">
        <w:rPr>
          <w:rFonts w:ascii="Arial" w:hAnsi="Arial" w:cs="Arial"/>
          <w:color w:val="000000" w:themeColor="text1"/>
        </w:rPr>
        <w:t>(to be prepared).</w:t>
      </w:r>
    </w:p>
    <w:p w14:paraId="76C83A45" w14:textId="02504D4B" w:rsidR="00E42129" w:rsidRDefault="00952493"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Pr>
          <w:rFonts w:ascii="Arial" w:hAnsi="Arial" w:cs="Arial"/>
          <w:color w:val="000000" w:themeColor="text1"/>
        </w:rPr>
        <w:t xml:space="preserve">In the interim, the strengthening </w:t>
      </w:r>
      <w:r w:rsidRPr="00F16281">
        <w:rPr>
          <w:rFonts w:ascii="Arial" w:hAnsi="Arial" w:cs="Arial"/>
          <w:color w:val="000000" w:themeColor="text1"/>
        </w:rPr>
        <w:t xml:space="preserve">of IL4 hospital buildings should seek to achieve the recommendations as stated in </w:t>
      </w:r>
      <w:r w:rsidRPr="00C37BD5">
        <w:rPr>
          <w:rFonts w:ascii="Arial" w:hAnsi="Arial" w:cs="Arial"/>
          <w:color w:val="000000" w:themeColor="text1"/>
        </w:rPr>
        <w:t xml:space="preserve">the </w:t>
      </w:r>
      <w:hyperlink r:id="rId17" w:tgtFrame="_blank" w:history="1">
        <w:r w:rsidR="00976EE1" w:rsidRPr="00976CCE">
          <w:rPr>
            <w:rStyle w:val="normaltextrun"/>
            <w:rFonts w:ascii="Arial" w:hAnsi="Arial" w:cs="Arial"/>
            <w:color w:val="2F5496" w:themeColor="accent1" w:themeShade="BF"/>
            <w:u w:val="single"/>
            <w:shd w:val="clear" w:color="auto" w:fill="FFFFFF"/>
            <w:lang w:val="en-US"/>
          </w:rPr>
          <w:t>Engineering Assessment Guidelines</w:t>
        </w:r>
      </w:hyperlink>
      <w:r w:rsidR="00976EE1" w:rsidRPr="00976CCE">
        <w:rPr>
          <w:rStyle w:val="normaltextrun"/>
          <w:rFonts w:ascii="Calibri" w:hAnsi="Calibri" w:cs="Calibri"/>
          <w:color w:val="2F5496" w:themeColor="accent1" w:themeShade="BF"/>
          <w:shd w:val="clear" w:color="auto" w:fill="FFFFFF"/>
          <w:lang w:val="en-US"/>
        </w:rPr>
        <w:t xml:space="preserve"> </w:t>
      </w:r>
      <w:r w:rsidR="00976EE1" w:rsidRPr="00976EE1">
        <w:rPr>
          <w:rFonts w:ascii="Arial" w:hAnsi="Arial" w:cs="Arial"/>
          <w:color w:val="000000" w:themeColor="text1"/>
        </w:rPr>
        <w:t>to attain a 67%NBS (IL4)</w:t>
      </w:r>
      <w:r w:rsidR="00976EE1">
        <w:rPr>
          <w:rFonts w:ascii="Arial" w:hAnsi="Arial" w:cs="Arial"/>
          <w:color w:val="000000" w:themeColor="text1"/>
        </w:rPr>
        <w:t xml:space="preserve"> rating and satisfy </w:t>
      </w:r>
      <w:r w:rsidR="00F16281">
        <w:rPr>
          <w:rFonts w:ascii="Arial" w:hAnsi="Arial" w:cs="Arial"/>
          <w:color w:val="000000" w:themeColor="text1"/>
        </w:rPr>
        <w:t>operational continuity requirements</w:t>
      </w:r>
      <w:r w:rsidR="00D3372D">
        <w:rPr>
          <w:rFonts w:ascii="Arial" w:hAnsi="Arial" w:cs="Arial"/>
          <w:color w:val="000000" w:themeColor="text1"/>
        </w:rPr>
        <w:t xml:space="preserve"> where practic</w:t>
      </w:r>
      <w:r w:rsidR="00687B8B">
        <w:rPr>
          <w:rFonts w:ascii="Arial" w:hAnsi="Arial" w:cs="Arial"/>
          <w:color w:val="000000" w:themeColor="text1"/>
        </w:rPr>
        <w:t>able</w:t>
      </w:r>
      <w:r w:rsidR="00F16281">
        <w:rPr>
          <w:rFonts w:ascii="Arial" w:hAnsi="Arial" w:cs="Arial"/>
          <w:color w:val="000000" w:themeColor="text1"/>
        </w:rPr>
        <w:t>.</w:t>
      </w:r>
    </w:p>
    <w:p w14:paraId="4A8AB80B" w14:textId="793D7433" w:rsidR="00F16281" w:rsidRDefault="00CF4938"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bookmarkStart w:id="4" w:name="_Hlk141781806"/>
      <w:r w:rsidRPr="00CF4938">
        <w:rPr>
          <w:rFonts w:ascii="Arial" w:hAnsi="Arial" w:cs="Arial"/>
          <w:color w:val="000000" w:themeColor="text1"/>
        </w:rPr>
        <w:t xml:space="preserve">Concept strengthening solutions that evaluate the impacts, </w:t>
      </w:r>
      <w:proofErr w:type="gramStart"/>
      <w:r w:rsidRPr="00CF4938">
        <w:rPr>
          <w:rFonts w:ascii="Arial" w:hAnsi="Arial" w:cs="Arial"/>
          <w:color w:val="000000" w:themeColor="text1"/>
        </w:rPr>
        <w:t>costs</w:t>
      </w:r>
      <w:proofErr w:type="gramEnd"/>
      <w:r w:rsidRPr="00CF4938">
        <w:rPr>
          <w:rFonts w:ascii="Arial" w:hAnsi="Arial" w:cs="Arial"/>
          <w:color w:val="000000" w:themeColor="text1"/>
        </w:rPr>
        <w:t xml:space="preserve"> and functional benefits of more than one option are required to be presented as part of strengthening design development. </w:t>
      </w:r>
    </w:p>
    <w:bookmarkEnd w:id="4"/>
    <w:p w14:paraId="36B1BE11" w14:textId="67B43AC0" w:rsidR="004D4483" w:rsidRPr="003C194A" w:rsidRDefault="004D4483" w:rsidP="004D4483">
      <w:pPr>
        <w:pStyle w:val="Heading2"/>
      </w:pPr>
      <w:r>
        <w:lastRenderedPageBreak/>
        <w:t>Occupancy of buildings with low seismic ratings</w:t>
      </w:r>
    </w:p>
    <w:p w14:paraId="1907AC27" w14:textId="77777777" w:rsidR="00891010" w:rsidRPr="00891010" w:rsidRDefault="00891010"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891010">
        <w:rPr>
          <w:rFonts w:ascii="Arial" w:hAnsi="Arial" w:cs="Arial"/>
          <w:color w:val="000000" w:themeColor="text1"/>
        </w:rPr>
        <w:t>This section outlines the framework and process for considering and deciding on the continued occupancy of buildings rating less than 34%NBS (or where other structural shortcomings have been identified).  </w:t>
      </w:r>
    </w:p>
    <w:p w14:paraId="54D42006" w14:textId="77777777" w:rsidR="003C1192" w:rsidRPr="00E84FB8" w:rsidRDefault="003C1192"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E84FB8">
        <w:rPr>
          <w:rFonts w:ascii="Arial" w:hAnsi="Arial" w:cs="Arial"/>
          <w:color w:val="000000" w:themeColor="text1"/>
        </w:rPr>
        <w:t>As outlined in the</w:t>
      </w:r>
      <w:r>
        <w:rPr>
          <w:rStyle w:val="normaltextrun"/>
          <w:rFonts w:ascii="Calibri" w:hAnsi="Calibri" w:cs="Calibri"/>
          <w:color w:val="000000"/>
          <w:shd w:val="clear" w:color="auto" w:fill="FFFFFF"/>
          <w:lang w:val="en-US"/>
        </w:rPr>
        <w:t xml:space="preserve"> </w:t>
      </w:r>
      <w:hyperlink r:id="rId18" w:tgtFrame="_blank" w:history="1">
        <w:r w:rsidRPr="00976CCE">
          <w:rPr>
            <w:rStyle w:val="normaltextrun"/>
            <w:rFonts w:ascii="Arial" w:hAnsi="Arial" w:cs="Arial"/>
            <w:color w:val="2F5496" w:themeColor="accent1" w:themeShade="BF"/>
            <w:u w:val="single"/>
            <w:shd w:val="clear" w:color="auto" w:fill="FFFFFF"/>
            <w:lang w:val="en-US"/>
          </w:rPr>
          <w:t>July 2022 MBIE Seismic Risk Guidance,</w:t>
        </w:r>
      </w:hyperlink>
      <w:r>
        <w:rPr>
          <w:rStyle w:val="normaltextrun"/>
          <w:rFonts w:ascii="Calibri" w:hAnsi="Calibri" w:cs="Calibri"/>
          <w:color w:val="000000"/>
          <w:shd w:val="clear" w:color="auto" w:fill="FFFFFF"/>
          <w:lang w:val="en-US"/>
        </w:rPr>
        <w:t xml:space="preserve"> </w:t>
      </w:r>
      <w:r w:rsidRPr="00E84FB8">
        <w:rPr>
          <w:rFonts w:ascii="Arial" w:hAnsi="Arial" w:cs="Arial"/>
          <w:color w:val="000000" w:themeColor="text1"/>
        </w:rPr>
        <w:t>the underlying premise is that very few</w:t>
      </w:r>
      <w:r>
        <w:rPr>
          <w:rStyle w:val="normaltextrun"/>
          <w:rFonts w:ascii="Calibri" w:hAnsi="Calibri" w:cs="Calibri"/>
          <w:color w:val="000000"/>
          <w:shd w:val="clear" w:color="auto" w:fill="FFFFFF"/>
          <w:lang w:val="en-US"/>
        </w:rPr>
        <w:t xml:space="preserve"> </w:t>
      </w:r>
      <w:r w:rsidRPr="00E84FB8">
        <w:rPr>
          <w:rFonts w:ascii="Arial" w:hAnsi="Arial" w:cs="Arial"/>
          <w:color w:val="000000" w:themeColor="text1"/>
        </w:rPr>
        <w:t>buildings rating less than 34%NBS are not able to continue to be occupied. The nature of the risk relates to the likelihood of a significant earthquake occurring, with the associated low probability of occurrence in any given year.  </w:t>
      </w:r>
    </w:p>
    <w:p w14:paraId="6373309E" w14:textId="4C36ED6C" w:rsidR="004D4483" w:rsidRPr="00547E87" w:rsidRDefault="003C1192" w:rsidP="00075CCC">
      <w:pPr>
        <w:pStyle w:val="ListParagraph"/>
        <w:numPr>
          <w:ilvl w:val="0"/>
          <w:numId w:val="1"/>
        </w:numPr>
        <w:autoSpaceDE w:val="0"/>
        <w:autoSpaceDN w:val="0"/>
        <w:adjustRightInd w:val="0"/>
        <w:spacing w:line="240" w:lineRule="auto"/>
        <w:ind w:left="425" w:hanging="425"/>
        <w:contextualSpacing w:val="0"/>
      </w:pPr>
      <w:r>
        <w:rPr>
          <w:rFonts w:ascii="Arial" w:hAnsi="Arial" w:cs="Arial"/>
          <w:color w:val="000000" w:themeColor="text1"/>
        </w:rPr>
        <w:t xml:space="preserve">The 2018 WorkSafe </w:t>
      </w:r>
      <w:r w:rsidR="007B1DD5">
        <w:rPr>
          <w:rFonts w:ascii="Arial" w:hAnsi="Arial" w:cs="Arial"/>
          <w:color w:val="000000" w:themeColor="text1"/>
        </w:rPr>
        <w:t>Position Statement outlines the requirements for the owners of an EPB to:</w:t>
      </w:r>
    </w:p>
    <w:p w14:paraId="309D243E" w14:textId="344B25FB" w:rsidR="007B1DD5" w:rsidRPr="00547E87" w:rsidRDefault="00F52926" w:rsidP="00075CCC">
      <w:pPr>
        <w:pStyle w:val="ListParagraph"/>
        <w:numPr>
          <w:ilvl w:val="2"/>
          <w:numId w:val="1"/>
        </w:numPr>
        <w:autoSpaceDE w:val="0"/>
        <w:autoSpaceDN w:val="0"/>
        <w:adjustRightInd w:val="0"/>
        <w:spacing w:after="0" w:line="240" w:lineRule="auto"/>
        <w:contextualSpacing w:val="0"/>
        <w:rPr>
          <w:rStyle w:val="normaltextrun"/>
        </w:rPr>
      </w:pPr>
      <w:r w:rsidRPr="00547E87">
        <w:rPr>
          <w:rFonts w:ascii="Arial" w:hAnsi="Arial" w:cs="Arial"/>
          <w:color w:val="000000" w:themeColor="text1"/>
        </w:rPr>
        <w:t xml:space="preserve">Comply with the </w:t>
      </w:r>
      <w:hyperlink r:id="rId19" w:tgtFrame="_blank" w:history="1">
        <w:r w:rsidRPr="00976CCE">
          <w:rPr>
            <w:rStyle w:val="normaltextrun"/>
            <w:rFonts w:ascii="Arial" w:hAnsi="Arial" w:cs="Arial"/>
            <w:color w:val="2F5496" w:themeColor="accent1" w:themeShade="BF"/>
            <w:u w:val="single"/>
            <w:shd w:val="clear" w:color="auto" w:fill="FFFFFF"/>
            <w:lang w:val="en-GB"/>
          </w:rPr>
          <w:t>Building Act 2004</w:t>
        </w:r>
      </w:hyperlink>
    </w:p>
    <w:p w14:paraId="2D393235" w14:textId="4CCF7E78" w:rsidR="00F52926" w:rsidRPr="00547E87" w:rsidRDefault="00F21103" w:rsidP="00075CCC">
      <w:pPr>
        <w:pStyle w:val="ListParagraph"/>
        <w:numPr>
          <w:ilvl w:val="2"/>
          <w:numId w:val="1"/>
        </w:numPr>
        <w:autoSpaceDE w:val="0"/>
        <w:autoSpaceDN w:val="0"/>
        <w:adjustRightInd w:val="0"/>
        <w:spacing w:after="0" w:line="240" w:lineRule="auto"/>
        <w:contextualSpacing w:val="0"/>
      </w:pPr>
      <w:r w:rsidRPr="00547E87">
        <w:rPr>
          <w:rFonts w:ascii="Arial" w:hAnsi="Arial" w:cs="Arial"/>
          <w:color w:val="000000" w:themeColor="text1"/>
        </w:rPr>
        <w:t xml:space="preserve">Monitor new or emerging </w:t>
      </w:r>
      <w:proofErr w:type="gramStart"/>
      <w:r w:rsidRPr="00547E87">
        <w:rPr>
          <w:rFonts w:ascii="Arial" w:hAnsi="Arial" w:cs="Arial"/>
          <w:color w:val="000000" w:themeColor="text1"/>
        </w:rPr>
        <w:t>information</w:t>
      </w:r>
      <w:proofErr w:type="gramEnd"/>
    </w:p>
    <w:p w14:paraId="4C99C38B" w14:textId="3F728636" w:rsidR="00F21103" w:rsidRPr="00547E87" w:rsidRDefault="00F21103" w:rsidP="00075CCC">
      <w:pPr>
        <w:pStyle w:val="ListParagraph"/>
        <w:numPr>
          <w:ilvl w:val="2"/>
          <w:numId w:val="1"/>
        </w:numPr>
        <w:autoSpaceDE w:val="0"/>
        <w:autoSpaceDN w:val="0"/>
        <w:adjustRightInd w:val="0"/>
        <w:spacing w:after="0" w:line="240" w:lineRule="auto"/>
        <w:contextualSpacing w:val="0"/>
      </w:pPr>
      <w:r w:rsidRPr="00547E87">
        <w:rPr>
          <w:rFonts w:ascii="Arial" w:hAnsi="Arial" w:cs="Arial"/>
          <w:color w:val="000000" w:themeColor="text1"/>
        </w:rPr>
        <w:t>Actively manage work related health and safety risks in accordance with the</w:t>
      </w:r>
      <w:r w:rsidR="00807ED8" w:rsidRPr="00807ED8">
        <w:t xml:space="preserve"> </w:t>
      </w:r>
      <w:hyperlink r:id="rId20" w:tgtFrame="_blank" w:history="1">
        <w:r w:rsidR="00807ED8" w:rsidRPr="00764447">
          <w:rPr>
            <w:rStyle w:val="normaltextrun"/>
            <w:rFonts w:ascii="Arial" w:hAnsi="Arial" w:cs="Arial"/>
            <w:color w:val="2F5496" w:themeColor="accent1" w:themeShade="BF"/>
            <w:u w:val="single"/>
            <w:shd w:val="clear" w:color="auto" w:fill="FFFFFF"/>
            <w:lang w:val="en-GB"/>
          </w:rPr>
          <w:t>Health and Safety at Work Act</w:t>
        </w:r>
      </w:hyperlink>
      <w:r w:rsidR="00807ED8" w:rsidRPr="00764447">
        <w:rPr>
          <w:rStyle w:val="normaltextrun"/>
          <w:rFonts w:ascii="Arial" w:hAnsi="Arial" w:cs="Arial"/>
          <w:color w:val="2F5496" w:themeColor="accent1" w:themeShade="BF"/>
          <w:u w:val="single"/>
          <w:shd w:val="clear" w:color="auto" w:fill="FFFFFF"/>
          <w:lang w:val="en-GB"/>
        </w:rPr>
        <w:t>.</w:t>
      </w:r>
      <w:r w:rsidRPr="00764447">
        <w:rPr>
          <w:rFonts w:ascii="Arial" w:hAnsi="Arial" w:cs="Arial"/>
          <w:color w:val="2F5496" w:themeColor="accent1" w:themeShade="BF"/>
        </w:rPr>
        <w:t xml:space="preserve"> </w:t>
      </w:r>
    </w:p>
    <w:p w14:paraId="2793A95A" w14:textId="77777777" w:rsidR="00547E87" w:rsidRPr="00807ED8" w:rsidRDefault="00547E87" w:rsidP="00547E87">
      <w:pPr>
        <w:pStyle w:val="ListParagraph"/>
        <w:autoSpaceDE w:val="0"/>
        <w:autoSpaceDN w:val="0"/>
        <w:adjustRightInd w:val="0"/>
        <w:spacing w:after="0" w:line="240" w:lineRule="auto"/>
        <w:ind w:left="2160"/>
        <w:contextualSpacing w:val="0"/>
      </w:pPr>
    </w:p>
    <w:p w14:paraId="551D1402" w14:textId="6B6117CE" w:rsidR="004D4483" w:rsidRPr="00D2193A" w:rsidRDefault="004D4483" w:rsidP="00075CCC">
      <w:pPr>
        <w:pStyle w:val="ListParagraph"/>
        <w:numPr>
          <w:ilvl w:val="0"/>
          <w:numId w:val="1"/>
        </w:numPr>
        <w:autoSpaceDE w:val="0"/>
        <w:autoSpaceDN w:val="0"/>
        <w:adjustRightInd w:val="0"/>
        <w:spacing w:line="240" w:lineRule="auto"/>
        <w:ind w:left="425" w:hanging="425"/>
        <w:contextualSpacing w:val="0"/>
        <w:rPr>
          <w:rStyle w:val="eop"/>
        </w:rPr>
      </w:pPr>
      <w:r w:rsidRPr="00283969">
        <w:rPr>
          <w:rFonts w:ascii="Arial" w:hAnsi="Arial" w:cs="Arial"/>
          <w:color w:val="000000" w:themeColor="text1"/>
        </w:rPr>
        <w:t>A</w:t>
      </w:r>
      <w:r w:rsidR="00E84FB8">
        <w:rPr>
          <w:rFonts w:ascii="Arial" w:hAnsi="Arial" w:cs="Arial"/>
          <w:color w:val="000000" w:themeColor="text1"/>
        </w:rPr>
        <w:t xml:space="preserve"> key factor in the decision to continue to occupy </w:t>
      </w:r>
      <w:r w:rsidR="00D2193A" w:rsidRPr="00D2193A">
        <w:rPr>
          <w:rFonts w:ascii="Arial" w:hAnsi="Arial" w:cs="Arial"/>
          <w:color w:val="000000" w:themeColor="text1"/>
        </w:rPr>
        <w:t>will be the anticipated time frame before seismic mitigation is undertaken.</w:t>
      </w:r>
      <w:r w:rsidR="00D2193A">
        <w:rPr>
          <w:rStyle w:val="eop"/>
          <w:rFonts w:ascii="Calibri" w:hAnsi="Calibri" w:cs="Calibri"/>
          <w:color w:val="000000"/>
          <w:shd w:val="clear" w:color="auto" w:fill="FFFFFF"/>
        </w:rPr>
        <w:t> </w:t>
      </w:r>
    </w:p>
    <w:p w14:paraId="06DB21D7" w14:textId="3EC02D69" w:rsidR="00D2193A" w:rsidRPr="00D2193A" w:rsidRDefault="00D2193A" w:rsidP="00075CCC">
      <w:pPr>
        <w:pStyle w:val="ListParagraph"/>
        <w:numPr>
          <w:ilvl w:val="0"/>
          <w:numId w:val="1"/>
        </w:numPr>
        <w:autoSpaceDE w:val="0"/>
        <w:autoSpaceDN w:val="0"/>
        <w:adjustRightInd w:val="0"/>
        <w:spacing w:line="240" w:lineRule="auto"/>
        <w:ind w:left="425" w:hanging="425"/>
        <w:contextualSpacing w:val="0"/>
        <w:rPr>
          <w:rStyle w:val="eop"/>
        </w:rPr>
      </w:pPr>
      <w:r w:rsidRPr="00D2193A">
        <w:rPr>
          <w:rFonts w:ascii="Arial" w:hAnsi="Arial" w:cs="Arial"/>
          <w:color w:val="000000" w:themeColor="text1"/>
        </w:rPr>
        <w:t>For buildings rating less than 34%NBS, a specific risk evaluation and decision-making process is to be followed, with outcomes recorded, communicated, and monitored. Our process is to be consistent with the</w:t>
      </w:r>
      <w:r>
        <w:rPr>
          <w:rStyle w:val="normaltextrun"/>
          <w:rFonts w:ascii="Calibri" w:hAnsi="Calibri" w:cs="Calibri"/>
          <w:color w:val="000000"/>
          <w:shd w:val="clear" w:color="auto" w:fill="FFFFFF"/>
          <w:lang w:val="en-US"/>
        </w:rPr>
        <w:t xml:space="preserve"> </w:t>
      </w:r>
      <w:hyperlink r:id="rId21" w:tgtFrame="_blank" w:history="1">
        <w:r w:rsidRPr="00764447">
          <w:rPr>
            <w:rStyle w:val="normaltextrun"/>
            <w:rFonts w:ascii="Arial" w:hAnsi="Arial" w:cs="Arial"/>
            <w:color w:val="2F5496" w:themeColor="accent1" w:themeShade="BF"/>
            <w:u w:val="single"/>
            <w:shd w:val="clear" w:color="auto" w:fill="FFFFFF"/>
            <w:lang w:val="en-US"/>
          </w:rPr>
          <w:t>MBIE July 2022 Seismic Risk Guidance</w:t>
        </w:r>
      </w:hyperlink>
      <w:r w:rsidRPr="00764447">
        <w:rPr>
          <w:rStyle w:val="normaltextrun"/>
          <w:rFonts w:ascii="Arial" w:hAnsi="Arial" w:cs="Arial"/>
          <w:color w:val="2F5496" w:themeColor="accent1" w:themeShade="BF"/>
          <w:shd w:val="clear" w:color="auto" w:fill="FFFFFF"/>
          <w:lang w:val="en-US"/>
        </w:rPr>
        <w:t>.</w:t>
      </w:r>
      <w:r w:rsidRPr="00764447">
        <w:rPr>
          <w:rStyle w:val="eop"/>
          <w:rFonts w:ascii="Calibri" w:hAnsi="Calibri" w:cs="Calibri"/>
          <w:color w:val="2F5496" w:themeColor="accent1" w:themeShade="BF"/>
          <w:shd w:val="clear" w:color="auto" w:fill="FFFFFF"/>
        </w:rPr>
        <w:t> </w:t>
      </w:r>
    </w:p>
    <w:p w14:paraId="6D9AF773" w14:textId="5DE2E756" w:rsidR="00D2193A" w:rsidRPr="003C6D5A" w:rsidRDefault="00926460" w:rsidP="00075CCC">
      <w:pPr>
        <w:pStyle w:val="ListParagraph"/>
        <w:numPr>
          <w:ilvl w:val="0"/>
          <w:numId w:val="1"/>
        </w:numPr>
        <w:autoSpaceDE w:val="0"/>
        <w:autoSpaceDN w:val="0"/>
        <w:adjustRightInd w:val="0"/>
        <w:spacing w:line="240" w:lineRule="auto"/>
        <w:ind w:left="425" w:hanging="425"/>
        <w:contextualSpacing w:val="0"/>
        <w:rPr>
          <w:rStyle w:val="eop"/>
        </w:rPr>
      </w:pPr>
      <w:r w:rsidRPr="00251B4E">
        <w:rPr>
          <w:rFonts w:ascii="Arial" w:hAnsi="Arial" w:cs="Arial"/>
          <w:color w:val="000000" w:themeColor="text1"/>
        </w:rPr>
        <w:t>This includes basing continued occupancy decisions on %NBS ratings that correspond to 500-year return period seismic demands in accordance with the</w:t>
      </w:r>
      <w:r>
        <w:rPr>
          <w:rStyle w:val="normaltextrun"/>
          <w:rFonts w:ascii="Calibri" w:hAnsi="Calibri" w:cs="Calibri"/>
          <w:color w:val="000000"/>
          <w:shd w:val="clear" w:color="auto" w:fill="FFFFFF"/>
          <w:lang w:val="en-US"/>
        </w:rPr>
        <w:t xml:space="preserve"> </w:t>
      </w:r>
      <w:hyperlink r:id="rId22" w:tgtFrame="_blank" w:history="1">
        <w:r w:rsidRPr="00824C99">
          <w:rPr>
            <w:rStyle w:val="normaltextrun"/>
            <w:rFonts w:ascii="Arial" w:hAnsi="Arial" w:cs="Arial"/>
            <w:color w:val="2F5496" w:themeColor="accent1" w:themeShade="BF"/>
            <w:u w:val="single"/>
            <w:shd w:val="clear" w:color="auto" w:fill="FFFFFF"/>
            <w:lang w:val="en-US"/>
          </w:rPr>
          <w:t>MBIE July 2022 Seismic Risk Guidance</w:t>
        </w:r>
      </w:hyperlink>
      <w:r w:rsidRPr="00DA2AE0">
        <w:rPr>
          <w:rStyle w:val="normaltextrun"/>
          <w:rFonts w:ascii="Calibri" w:hAnsi="Calibri" w:cs="Calibri"/>
          <w:color w:val="000000"/>
          <w:shd w:val="clear" w:color="auto" w:fill="FFFFFF"/>
          <w:lang w:val="en-US"/>
        </w:rPr>
        <w:t xml:space="preserve"> –</w:t>
      </w:r>
      <w:r>
        <w:rPr>
          <w:rStyle w:val="normaltextrun"/>
          <w:rFonts w:ascii="Calibri" w:hAnsi="Calibri" w:cs="Calibri"/>
          <w:color w:val="000000"/>
          <w:shd w:val="clear" w:color="auto" w:fill="FFFFFF"/>
          <w:lang w:val="en-US"/>
        </w:rPr>
        <w:t xml:space="preserve"> </w:t>
      </w:r>
      <w:r w:rsidRPr="00251B4E">
        <w:rPr>
          <w:rFonts w:ascii="Arial" w:hAnsi="Arial" w:cs="Arial"/>
          <w:color w:val="000000" w:themeColor="text1"/>
        </w:rPr>
        <w:t>that is, evaluated against Importance Level 2, rather than 3 or 4</w:t>
      </w:r>
      <w:r>
        <w:rPr>
          <w:rStyle w:val="normaltextrun"/>
          <w:rFonts w:ascii="Calibri" w:hAnsi="Calibri" w:cs="Calibri"/>
          <w:color w:val="000000"/>
          <w:shd w:val="clear" w:color="auto" w:fill="FFFFFF"/>
          <w:lang w:val="en-US"/>
        </w:rPr>
        <w:t>.</w:t>
      </w:r>
      <w:r>
        <w:rPr>
          <w:rStyle w:val="eop"/>
          <w:rFonts w:ascii="Calibri" w:hAnsi="Calibri" w:cs="Calibri"/>
          <w:color w:val="000000"/>
          <w:shd w:val="clear" w:color="auto" w:fill="FFFFFF"/>
        </w:rPr>
        <w:t> </w:t>
      </w:r>
    </w:p>
    <w:p w14:paraId="23FBDB66" w14:textId="6BE4E641" w:rsidR="003C6D5A" w:rsidRPr="003C6D5A" w:rsidRDefault="003C6D5A"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3C6D5A">
        <w:rPr>
          <w:rFonts w:ascii="Arial" w:hAnsi="Arial" w:cs="Arial"/>
          <w:color w:val="000000" w:themeColor="text1"/>
        </w:rPr>
        <w:t>Upon receipt of a seismic assessment with a rating less than 34%NBS, the Trusted Seismic Advisor will review the seismic assessment to verify the nature of the key vulnerabilities identified, and potential impacts on occupants. From this desktop review, the equivalent IL2 (500-year return period) rating will be established.  </w:t>
      </w:r>
    </w:p>
    <w:p w14:paraId="47624BE4" w14:textId="4AEA21E2" w:rsidR="003C6D5A" w:rsidRPr="00A95FF7" w:rsidRDefault="00C749C9"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A95FF7">
        <w:rPr>
          <w:rFonts w:ascii="Arial" w:hAnsi="Arial" w:cs="Arial"/>
          <w:color w:val="000000" w:themeColor="text1"/>
        </w:rPr>
        <w:t>Where the equivalent IL2 rating is at or above 34%NBS, occupancy can continue without further risk evaluation, unless specific concerns have been raised. </w:t>
      </w:r>
    </w:p>
    <w:p w14:paraId="2591DE80" w14:textId="265CC035" w:rsidR="00C749C9" w:rsidRPr="00A95FF7" w:rsidRDefault="00C431F7"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A95FF7">
        <w:rPr>
          <w:rFonts w:ascii="Arial" w:hAnsi="Arial" w:cs="Arial"/>
          <w:color w:val="000000" w:themeColor="text1"/>
        </w:rPr>
        <w:t>Where the equivalent IL2 rating is below 34%NBS, the Trusted Seismic Advisor will inspect the building and undertake a specific risk assessment which identifies short-term risk mitigation measures and makes recommendations about continued occupancy. This risk assessment will also provide key communications messages. </w:t>
      </w:r>
    </w:p>
    <w:p w14:paraId="4F467630" w14:textId="6416C38E" w:rsidR="00C431F7" w:rsidRPr="00A95FF7" w:rsidRDefault="00C431F7"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A95FF7">
        <w:rPr>
          <w:rFonts w:ascii="Arial" w:hAnsi="Arial" w:cs="Arial"/>
          <w:color w:val="000000" w:themeColor="text1"/>
        </w:rPr>
        <w:t>An evaluation of the operational consequences of not continuing to use the building is also required to be undertaken, documented, and provided as part of the advice relating to the recommendations on continued occupancy. </w:t>
      </w:r>
    </w:p>
    <w:p w14:paraId="58591D5D" w14:textId="7F0FD93F" w:rsidR="00C431F7" w:rsidRPr="00A95FF7" w:rsidRDefault="004A57F7"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A95FF7">
        <w:rPr>
          <w:rFonts w:ascii="Arial" w:hAnsi="Arial" w:cs="Arial"/>
          <w:color w:val="000000" w:themeColor="text1"/>
        </w:rPr>
        <w:t xml:space="preserve">This process will apply to seismic assessments already held by Te </w:t>
      </w:r>
      <w:proofErr w:type="spellStart"/>
      <w:r w:rsidRPr="00A95FF7">
        <w:rPr>
          <w:rFonts w:ascii="Arial" w:hAnsi="Arial" w:cs="Arial"/>
          <w:color w:val="000000" w:themeColor="text1"/>
        </w:rPr>
        <w:t>Whatu</w:t>
      </w:r>
      <w:proofErr w:type="spellEnd"/>
      <w:r w:rsidRPr="00A95FF7">
        <w:rPr>
          <w:rFonts w:ascii="Arial" w:hAnsi="Arial" w:cs="Arial"/>
          <w:color w:val="000000" w:themeColor="text1"/>
        </w:rPr>
        <w:t xml:space="preserve"> Ora (including buildings </w:t>
      </w:r>
      <w:r w:rsidR="00AC1F35">
        <w:rPr>
          <w:rFonts w:ascii="Arial" w:hAnsi="Arial" w:cs="Arial"/>
          <w:color w:val="000000" w:themeColor="text1"/>
        </w:rPr>
        <w:t>that have</w:t>
      </w:r>
      <w:r w:rsidRPr="00A95FF7">
        <w:rPr>
          <w:rFonts w:ascii="Arial" w:hAnsi="Arial" w:cs="Arial"/>
          <w:color w:val="000000" w:themeColor="text1"/>
        </w:rPr>
        <w:t xml:space="preserve"> already received an earthquake prone building notice from the Territorial Authority) as well as further seismic assessments to be commissioned.  </w:t>
      </w:r>
    </w:p>
    <w:p w14:paraId="52BC8A47" w14:textId="162EDEE7" w:rsidR="004A57F7" w:rsidRPr="00A95FF7" w:rsidRDefault="121C5E0F" w:rsidP="7E497DE6">
      <w:pPr>
        <w:pStyle w:val="ListParagraph"/>
        <w:numPr>
          <w:ilvl w:val="0"/>
          <w:numId w:val="1"/>
        </w:numPr>
        <w:autoSpaceDE w:val="0"/>
        <w:autoSpaceDN w:val="0"/>
        <w:adjustRightInd w:val="0"/>
        <w:spacing w:line="240" w:lineRule="auto"/>
        <w:ind w:left="425" w:hanging="425"/>
        <w:rPr>
          <w:rFonts w:ascii="Arial" w:hAnsi="Arial" w:cs="Arial"/>
          <w:color w:val="000000" w:themeColor="text1"/>
        </w:rPr>
      </w:pPr>
      <w:r w:rsidRPr="7E497DE6">
        <w:rPr>
          <w:rFonts w:ascii="Arial" w:hAnsi="Arial" w:cs="Arial"/>
          <w:color w:val="000000" w:themeColor="text1"/>
        </w:rPr>
        <w:t xml:space="preserve">The decision to continue to occupy (or not) buildings rating less than 34%NBS (IL2) is to be made by the Te </w:t>
      </w:r>
      <w:proofErr w:type="spellStart"/>
      <w:r w:rsidRPr="7E497DE6">
        <w:rPr>
          <w:rFonts w:ascii="Arial" w:hAnsi="Arial" w:cs="Arial"/>
          <w:color w:val="000000" w:themeColor="text1"/>
        </w:rPr>
        <w:t>Whatu</w:t>
      </w:r>
      <w:proofErr w:type="spellEnd"/>
      <w:r w:rsidRPr="7E497DE6">
        <w:rPr>
          <w:rFonts w:ascii="Arial" w:hAnsi="Arial" w:cs="Arial"/>
          <w:color w:val="000000" w:themeColor="text1"/>
        </w:rPr>
        <w:t xml:space="preserve"> Ora Board or other delegated authority after consultation with the Chief Executive as </w:t>
      </w:r>
      <w:r w:rsidR="256C272B" w:rsidRPr="7E497DE6">
        <w:rPr>
          <w:rFonts w:ascii="Arial" w:hAnsi="Arial" w:cs="Arial"/>
          <w:color w:val="000000" w:themeColor="text1"/>
        </w:rPr>
        <w:t>a</w:t>
      </w:r>
      <w:r w:rsidR="74C00352" w:rsidRPr="7E497DE6">
        <w:rPr>
          <w:rFonts w:ascii="Arial" w:hAnsi="Arial" w:cs="Arial"/>
          <w:color w:val="000000" w:themeColor="text1"/>
        </w:rPr>
        <w:t xml:space="preserve"> </w:t>
      </w:r>
      <w:r w:rsidRPr="7E497DE6">
        <w:rPr>
          <w:rFonts w:ascii="Arial" w:hAnsi="Arial" w:cs="Arial"/>
          <w:color w:val="000000" w:themeColor="text1"/>
        </w:rPr>
        <w:t>Person Conducting a Business or Undertaking (PCBUs). </w:t>
      </w:r>
    </w:p>
    <w:p w14:paraId="5ECC4F85" w14:textId="39093FB0" w:rsidR="004A57F7" w:rsidRDefault="004A57F7"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A95FF7">
        <w:rPr>
          <w:rFonts w:ascii="Arial" w:hAnsi="Arial" w:cs="Arial"/>
          <w:color w:val="000000" w:themeColor="text1"/>
        </w:rPr>
        <w:lastRenderedPageBreak/>
        <w:t xml:space="preserve">The decision on continuing to occupy buildings with low seismic ratings (or not) will be recorded in a standard template with the risk </w:t>
      </w:r>
      <w:r w:rsidR="00687B8B">
        <w:rPr>
          <w:rFonts w:ascii="Arial" w:hAnsi="Arial" w:cs="Arial"/>
          <w:color w:val="000000" w:themeColor="text1"/>
        </w:rPr>
        <w:t xml:space="preserve">evaluation </w:t>
      </w:r>
      <w:r w:rsidRPr="00A95FF7">
        <w:rPr>
          <w:rFonts w:ascii="Arial" w:hAnsi="Arial" w:cs="Arial"/>
          <w:color w:val="000000" w:themeColor="text1"/>
        </w:rPr>
        <w:t xml:space="preserve">memo appended, with copies held at both Te </w:t>
      </w:r>
      <w:proofErr w:type="spellStart"/>
      <w:r w:rsidRPr="00A95FF7">
        <w:rPr>
          <w:rFonts w:ascii="Arial" w:hAnsi="Arial" w:cs="Arial"/>
          <w:color w:val="000000" w:themeColor="text1"/>
        </w:rPr>
        <w:t>Whatu</w:t>
      </w:r>
      <w:proofErr w:type="spellEnd"/>
      <w:r w:rsidRPr="00A95FF7">
        <w:rPr>
          <w:rFonts w:ascii="Arial" w:hAnsi="Arial" w:cs="Arial"/>
          <w:color w:val="000000" w:themeColor="text1"/>
        </w:rPr>
        <w:t xml:space="preserve"> Ora and the local facility.  </w:t>
      </w:r>
    </w:p>
    <w:p w14:paraId="392A92AF" w14:textId="0AE261E0" w:rsidR="00556633" w:rsidRPr="003703BB" w:rsidRDefault="00556633"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3703BB">
        <w:rPr>
          <w:rFonts w:ascii="Arial" w:hAnsi="Arial" w:cs="Arial"/>
          <w:color w:val="000000" w:themeColor="text1"/>
        </w:rPr>
        <w:t xml:space="preserve">The seismic </w:t>
      </w:r>
      <w:r w:rsidR="005D481C" w:rsidRPr="003703BB">
        <w:rPr>
          <w:rFonts w:ascii="Arial" w:hAnsi="Arial" w:cs="Arial"/>
          <w:color w:val="000000" w:themeColor="text1"/>
        </w:rPr>
        <w:t>status of buildings with low seismic ratings as summarised in the risk evaluation memo</w:t>
      </w:r>
      <w:r w:rsidR="00C36E0F" w:rsidRPr="003703BB">
        <w:rPr>
          <w:rFonts w:ascii="Arial" w:hAnsi="Arial" w:cs="Arial"/>
          <w:color w:val="000000" w:themeColor="text1"/>
        </w:rPr>
        <w:t>, along with plans to manage the short-term risk, is to be communicated to staff and regular users of the buildings.</w:t>
      </w:r>
    </w:p>
    <w:p w14:paraId="542848EE" w14:textId="2DDF9BF5" w:rsidR="00A95FF7" w:rsidRPr="00A95FF7" w:rsidRDefault="00A95FF7"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A95FF7">
        <w:rPr>
          <w:rFonts w:ascii="Arial" w:hAnsi="Arial" w:cs="Arial"/>
          <w:color w:val="000000" w:themeColor="text1"/>
        </w:rPr>
        <w:t xml:space="preserve">For buildings rating less than 34%NBS and being occupied, it is recommended that as a minimum an annual review is to be undertaken by Te </w:t>
      </w:r>
      <w:proofErr w:type="spellStart"/>
      <w:r w:rsidRPr="00A95FF7">
        <w:rPr>
          <w:rFonts w:ascii="Arial" w:hAnsi="Arial" w:cs="Arial"/>
          <w:color w:val="000000" w:themeColor="text1"/>
        </w:rPr>
        <w:t>Whatu</w:t>
      </w:r>
      <w:proofErr w:type="spellEnd"/>
      <w:r w:rsidRPr="00A95FF7">
        <w:rPr>
          <w:rFonts w:ascii="Arial" w:hAnsi="Arial" w:cs="Arial"/>
          <w:color w:val="000000" w:themeColor="text1"/>
        </w:rPr>
        <w:t xml:space="preserve"> Ora. The review should identify if any changes have or are likely to occur to either the occupancy of the building or time frames for mitigation or decanting, or to the understanding of the key vulnerabilities. </w:t>
      </w:r>
    </w:p>
    <w:p w14:paraId="297425ED" w14:textId="26F038EF" w:rsidR="00A2331B" w:rsidRDefault="004E1A67" w:rsidP="00A2331B">
      <w:pPr>
        <w:pStyle w:val="Heading2"/>
      </w:pPr>
      <w:r>
        <w:t>Post-earthquake arrangements with engineers</w:t>
      </w:r>
    </w:p>
    <w:p w14:paraId="67DFB71B" w14:textId="6A811FC6" w:rsidR="00A2331B" w:rsidRPr="005D7A47" w:rsidRDefault="004F28E0"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Pr>
          <w:rFonts w:ascii="Arial" w:hAnsi="Arial" w:cs="Arial"/>
          <w:color w:val="000000" w:themeColor="text1"/>
        </w:rPr>
        <w:t xml:space="preserve">Varying degrees of structural </w:t>
      </w:r>
      <w:r w:rsidR="005D7A47" w:rsidRPr="005D7A47">
        <w:rPr>
          <w:rFonts w:ascii="Arial" w:hAnsi="Arial" w:cs="Arial"/>
          <w:color w:val="000000" w:themeColor="text1"/>
        </w:rPr>
        <w:t xml:space="preserve">and non-structural damage can be expected in health facilities following a major earthquake, particularly in older and/or lower rating facilities. Decisions to either continue to deliver services in a building or evacuate to an alternative facility are significant and need to </w:t>
      </w:r>
      <w:proofErr w:type="gramStart"/>
      <w:r w:rsidR="005D7A47" w:rsidRPr="005D7A47">
        <w:rPr>
          <w:rFonts w:ascii="Arial" w:hAnsi="Arial" w:cs="Arial"/>
          <w:color w:val="000000" w:themeColor="text1"/>
        </w:rPr>
        <w:t>take into account</w:t>
      </w:r>
      <w:proofErr w:type="gramEnd"/>
      <w:r w:rsidR="005D7A47" w:rsidRPr="005D7A47">
        <w:rPr>
          <w:rFonts w:ascii="Arial" w:hAnsi="Arial" w:cs="Arial"/>
          <w:color w:val="000000" w:themeColor="text1"/>
        </w:rPr>
        <w:t xml:space="preserve"> a number of clinical and functional considerations and compromises.  </w:t>
      </w:r>
    </w:p>
    <w:p w14:paraId="76ACE889" w14:textId="5EFE4636" w:rsidR="005D7A47" w:rsidRPr="00B1411F" w:rsidRDefault="00F547B0"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sidRPr="00B1411F">
        <w:rPr>
          <w:rFonts w:ascii="Arial" w:hAnsi="Arial" w:cs="Arial"/>
          <w:color w:val="000000" w:themeColor="text1"/>
        </w:rPr>
        <w:t>Early and informed engineering input into this decision-making process is essential. </w:t>
      </w:r>
    </w:p>
    <w:p w14:paraId="5BD87EDA" w14:textId="50D333E3" w:rsidR="00F547B0" w:rsidRPr="003703BB" w:rsidRDefault="00F547B0"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sidRPr="00B1411F">
        <w:rPr>
          <w:rFonts w:ascii="Arial" w:hAnsi="Arial" w:cs="Arial"/>
          <w:color w:val="000000" w:themeColor="text1"/>
        </w:rPr>
        <w:t xml:space="preserve">Te </w:t>
      </w:r>
      <w:proofErr w:type="spellStart"/>
      <w:r w:rsidRPr="00B1411F">
        <w:rPr>
          <w:rFonts w:ascii="Arial" w:hAnsi="Arial" w:cs="Arial"/>
          <w:color w:val="000000" w:themeColor="text1"/>
        </w:rPr>
        <w:t>Whatu</w:t>
      </w:r>
      <w:proofErr w:type="spellEnd"/>
      <w:r w:rsidRPr="00B1411F">
        <w:rPr>
          <w:rFonts w:ascii="Arial" w:hAnsi="Arial" w:cs="Arial"/>
          <w:color w:val="000000" w:themeColor="text1"/>
        </w:rPr>
        <w:t xml:space="preserve"> Ora </w:t>
      </w:r>
      <w:r w:rsidRPr="003703BB">
        <w:rPr>
          <w:rFonts w:ascii="Arial" w:hAnsi="Arial" w:cs="Arial"/>
          <w:color w:val="000000" w:themeColor="text1"/>
        </w:rPr>
        <w:t>is required to have specific arrangements with consulting engineering practices to have post-earthquake building assessments undertaken with priority. </w:t>
      </w:r>
    </w:p>
    <w:p w14:paraId="517A5CC3" w14:textId="76EAC1BE" w:rsidR="00F547B0" w:rsidRPr="003703BB" w:rsidRDefault="00B1411F"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sidRPr="003703BB">
        <w:rPr>
          <w:rFonts w:ascii="Arial" w:hAnsi="Arial" w:cs="Arial"/>
          <w:color w:val="000000" w:themeColor="text1"/>
        </w:rPr>
        <w:t xml:space="preserve">This should be in the form of a Priority Response Agreement which sets out the expectations that Te </w:t>
      </w:r>
      <w:proofErr w:type="spellStart"/>
      <w:r w:rsidRPr="003703BB">
        <w:rPr>
          <w:rFonts w:ascii="Arial" w:hAnsi="Arial" w:cs="Arial"/>
          <w:color w:val="000000" w:themeColor="text1"/>
        </w:rPr>
        <w:t>Whatu</w:t>
      </w:r>
      <w:proofErr w:type="spellEnd"/>
      <w:r w:rsidRPr="003703BB">
        <w:rPr>
          <w:rFonts w:ascii="Arial" w:hAnsi="Arial" w:cs="Arial"/>
          <w:color w:val="000000" w:themeColor="text1"/>
        </w:rPr>
        <w:t xml:space="preserve"> Ora has of the nominated engineers, and vice versa. </w:t>
      </w:r>
    </w:p>
    <w:p w14:paraId="27178C7D" w14:textId="1A5A6D65" w:rsidR="00B1411F" w:rsidRPr="003703BB" w:rsidRDefault="00B1411F" w:rsidP="00075CCC">
      <w:pPr>
        <w:pStyle w:val="ListParagraph"/>
        <w:numPr>
          <w:ilvl w:val="0"/>
          <w:numId w:val="1"/>
        </w:numPr>
        <w:autoSpaceDE w:val="0"/>
        <w:autoSpaceDN w:val="0"/>
        <w:adjustRightInd w:val="0"/>
        <w:spacing w:line="240" w:lineRule="auto"/>
        <w:ind w:left="426" w:hanging="426"/>
        <w:contextualSpacing w:val="0"/>
        <w:rPr>
          <w:rFonts w:ascii="Arial" w:hAnsi="Arial" w:cs="Arial"/>
          <w:color w:val="000000" w:themeColor="text1"/>
        </w:rPr>
      </w:pPr>
      <w:r w:rsidRPr="003703BB">
        <w:rPr>
          <w:rFonts w:ascii="Arial" w:hAnsi="Arial" w:cs="Arial"/>
          <w:color w:val="000000" w:themeColor="text1"/>
        </w:rPr>
        <w:t>Priority Response Agreements are to be in a standard template form. Draft agreements are to be reviewed by the Trusted Seismic Advisor, and final versions authorised by the relevant delegated financial authority.  </w:t>
      </w:r>
    </w:p>
    <w:p w14:paraId="2F18D150" w14:textId="44455D2B" w:rsidR="00D72E8E" w:rsidRDefault="00D72E8E" w:rsidP="00D72E8E">
      <w:pPr>
        <w:pStyle w:val="Heading2"/>
      </w:pPr>
      <w:r>
        <w:t>Future property requirements</w:t>
      </w:r>
    </w:p>
    <w:p w14:paraId="3ACC2B54" w14:textId="495BCC42" w:rsidR="00385707" w:rsidRDefault="00385707"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sidRPr="00385707">
        <w:rPr>
          <w:rFonts w:ascii="Arial" w:hAnsi="Arial" w:cs="Arial"/>
          <w:color w:val="000000" w:themeColor="text1"/>
        </w:rPr>
        <w:t>Reliable technical due diligence information is required to make informed decisions on the acquisition or lease of a property. </w:t>
      </w:r>
    </w:p>
    <w:p w14:paraId="61B7D4B8" w14:textId="77777777" w:rsidR="003141FB" w:rsidRDefault="003141FB" w:rsidP="003141FB">
      <w:pPr>
        <w:pStyle w:val="ListParagraph"/>
        <w:autoSpaceDE w:val="0"/>
        <w:autoSpaceDN w:val="0"/>
        <w:adjustRightInd w:val="0"/>
        <w:spacing w:line="240" w:lineRule="auto"/>
        <w:ind w:left="426"/>
        <w:rPr>
          <w:rFonts w:ascii="Arial" w:hAnsi="Arial" w:cs="Arial"/>
          <w:color w:val="000000" w:themeColor="text1"/>
        </w:rPr>
      </w:pPr>
    </w:p>
    <w:p w14:paraId="68B3A2D8" w14:textId="64688164" w:rsidR="00385707" w:rsidRDefault="003141FB" w:rsidP="00075CCC">
      <w:pPr>
        <w:pStyle w:val="ListParagraph"/>
        <w:numPr>
          <w:ilvl w:val="0"/>
          <w:numId w:val="1"/>
        </w:numPr>
        <w:autoSpaceDE w:val="0"/>
        <w:autoSpaceDN w:val="0"/>
        <w:adjustRightInd w:val="0"/>
        <w:spacing w:line="240" w:lineRule="auto"/>
        <w:ind w:left="426" w:hanging="426"/>
        <w:rPr>
          <w:rFonts w:ascii="Arial" w:hAnsi="Arial" w:cs="Arial"/>
          <w:color w:val="000000" w:themeColor="text1"/>
        </w:rPr>
      </w:pPr>
      <w:r w:rsidRPr="003141FB">
        <w:rPr>
          <w:rFonts w:ascii="Arial" w:hAnsi="Arial" w:cs="Arial"/>
          <w:color w:val="000000" w:themeColor="text1"/>
        </w:rPr>
        <w:t>This section specifies the steps required to establish the level of seismic risk associated with buildings that are being considered for purchase or lease. </w:t>
      </w:r>
    </w:p>
    <w:p w14:paraId="53ED76E5" w14:textId="77777777" w:rsidR="003141FB" w:rsidRPr="003141FB" w:rsidRDefault="003141FB" w:rsidP="003141FB">
      <w:pPr>
        <w:pStyle w:val="ListParagraph"/>
        <w:rPr>
          <w:rFonts w:ascii="Arial" w:hAnsi="Arial" w:cs="Arial"/>
          <w:color w:val="000000" w:themeColor="text1"/>
        </w:rPr>
      </w:pPr>
    </w:p>
    <w:p w14:paraId="1838BE69" w14:textId="25CA0E74" w:rsidR="003141FB" w:rsidRPr="005530B7" w:rsidRDefault="000264C6" w:rsidP="00075CCC">
      <w:pPr>
        <w:pStyle w:val="ListParagraph"/>
        <w:numPr>
          <w:ilvl w:val="0"/>
          <w:numId w:val="1"/>
        </w:numPr>
        <w:autoSpaceDE w:val="0"/>
        <w:autoSpaceDN w:val="0"/>
        <w:adjustRightInd w:val="0"/>
        <w:spacing w:line="240" w:lineRule="auto"/>
        <w:ind w:left="426" w:hanging="426"/>
      </w:pPr>
      <w:r>
        <w:rPr>
          <w:rFonts w:ascii="Arial" w:hAnsi="Arial" w:cs="Arial"/>
          <w:color w:val="000000" w:themeColor="text1"/>
        </w:rPr>
        <w:t xml:space="preserve">All </w:t>
      </w:r>
      <w:r w:rsidR="000553E3">
        <w:rPr>
          <w:rFonts w:ascii="Arial" w:hAnsi="Arial" w:cs="Arial"/>
          <w:color w:val="000000" w:themeColor="text1"/>
        </w:rPr>
        <w:t>mandated</w:t>
      </w:r>
      <w:r>
        <w:rPr>
          <w:rFonts w:ascii="Arial" w:hAnsi="Arial" w:cs="Arial"/>
          <w:color w:val="000000" w:themeColor="text1"/>
        </w:rPr>
        <w:t xml:space="preserve"> agencies, which Te </w:t>
      </w:r>
      <w:proofErr w:type="spellStart"/>
      <w:r>
        <w:rPr>
          <w:rFonts w:ascii="Arial" w:hAnsi="Arial" w:cs="Arial"/>
          <w:color w:val="000000" w:themeColor="text1"/>
        </w:rPr>
        <w:t>Whatu</w:t>
      </w:r>
      <w:proofErr w:type="spellEnd"/>
      <w:r>
        <w:rPr>
          <w:rFonts w:ascii="Arial" w:hAnsi="Arial" w:cs="Arial"/>
          <w:color w:val="000000" w:themeColor="text1"/>
        </w:rPr>
        <w:t xml:space="preserve"> Ora </w:t>
      </w:r>
      <w:r w:rsidR="00187FA2">
        <w:rPr>
          <w:rFonts w:ascii="Arial" w:hAnsi="Arial" w:cs="Arial"/>
          <w:color w:val="000000" w:themeColor="text1"/>
        </w:rPr>
        <w:t>is, need approval from Government Property Group (GPG) before a</w:t>
      </w:r>
      <w:r w:rsidR="001707CC">
        <w:rPr>
          <w:rFonts w:ascii="Arial" w:hAnsi="Arial" w:cs="Arial"/>
          <w:color w:val="000000" w:themeColor="text1"/>
        </w:rPr>
        <w:t xml:space="preserve">cquiring, </w:t>
      </w:r>
      <w:proofErr w:type="gramStart"/>
      <w:r w:rsidR="001707CC">
        <w:rPr>
          <w:rFonts w:ascii="Arial" w:hAnsi="Arial" w:cs="Arial"/>
          <w:color w:val="000000" w:themeColor="text1"/>
        </w:rPr>
        <w:t>renewing</w:t>
      </w:r>
      <w:proofErr w:type="gramEnd"/>
      <w:r w:rsidR="001707CC">
        <w:rPr>
          <w:rFonts w:ascii="Arial" w:hAnsi="Arial" w:cs="Arial"/>
          <w:color w:val="000000" w:themeColor="text1"/>
        </w:rPr>
        <w:t xml:space="preserve"> or ending a lease.</w:t>
      </w:r>
      <w:r w:rsidR="001707CC">
        <w:rPr>
          <w:rStyle w:val="FootnoteReference"/>
          <w:rFonts w:ascii="Arial" w:hAnsi="Arial" w:cs="Arial"/>
          <w:color w:val="000000" w:themeColor="text1"/>
        </w:rPr>
        <w:footnoteReference w:id="2"/>
      </w:r>
      <w:r w:rsidR="003C317E">
        <w:rPr>
          <w:rFonts w:ascii="Arial" w:hAnsi="Arial" w:cs="Arial"/>
          <w:color w:val="000000" w:themeColor="text1"/>
        </w:rPr>
        <w:t xml:space="preserve"> </w:t>
      </w:r>
      <w:r w:rsidR="00FB349A" w:rsidRPr="005530B7">
        <w:rPr>
          <w:rFonts w:ascii="Arial" w:hAnsi="Arial" w:cs="Arial"/>
          <w:color w:val="000000" w:themeColor="text1"/>
        </w:rPr>
        <w:t>For office premises that are office space in the majority and are not classified as having operational functions, the terms of the lease should be discussed and agreed with MBIE’s Government Property Group. </w:t>
      </w:r>
    </w:p>
    <w:p w14:paraId="7AEC417F" w14:textId="77777777" w:rsidR="00FB349A" w:rsidRPr="00FB349A" w:rsidRDefault="00FB349A" w:rsidP="00FB349A">
      <w:pPr>
        <w:pStyle w:val="ListParagraph"/>
        <w:rPr>
          <w:rFonts w:ascii="Arial" w:hAnsi="Arial" w:cs="Arial"/>
          <w:color w:val="000000" w:themeColor="text1"/>
        </w:rPr>
      </w:pPr>
    </w:p>
    <w:p w14:paraId="3A6CCC74" w14:textId="2669840A" w:rsidR="00FB349A" w:rsidRPr="005530B7" w:rsidRDefault="00FB349A" w:rsidP="00075CCC">
      <w:pPr>
        <w:pStyle w:val="ListParagraph"/>
        <w:numPr>
          <w:ilvl w:val="0"/>
          <w:numId w:val="1"/>
        </w:numPr>
        <w:autoSpaceDE w:val="0"/>
        <w:autoSpaceDN w:val="0"/>
        <w:adjustRightInd w:val="0"/>
        <w:spacing w:line="240" w:lineRule="auto"/>
        <w:ind w:left="426" w:hanging="426"/>
      </w:pPr>
      <w:r w:rsidRPr="005530B7">
        <w:rPr>
          <w:rFonts w:ascii="Arial" w:hAnsi="Arial" w:cs="Arial"/>
          <w:color w:val="000000" w:themeColor="text1"/>
        </w:rPr>
        <w:t>Prior to entering a new lease or acquisition of a building, an engineering review of the risk profile is required by the Trusted Seismic Advisor or alternative nominated engineer. </w:t>
      </w:r>
    </w:p>
    <w:p w14:paraId="53427F13" w14:textId="77777777" w:rsidR="00FB349A" w:rsidRPr="00FB349A" w:rsidRDefault="00FB349A" w:rsidP="00FB349A">
      <w:pPr>
        <w:pStyle w:val="ListParagraph"/>
        <w:rPr>
          <w:rFonts w:ascii="Arial" w:hAnsi="Arial" w:cs="Arial"/>
          <w:color w:val="000000" w:themeColor="text1"/>
        </w:rPr>
      </w:pPr>
    </w:p>
    <w:p w14:paraId="25A20264" w14:textId="350CD0E7" w:rsidR="00FB349A" w:rsidRPr="005530B7" w:rsidRDefault="00873DFF" w:rsidP="00075CCC">
      <w:pPr>
        <w:pStyle w:val="ListParagraph"/>
        <w:numPr>
          <w:ilvl w:val="0"/>
          <w:numId w:val="1"/>
        </w:numPr>
        <w:autoSpaceDE w:val="0"/>
        <w:autoSpaceDN w:val="0"/>
        <w:adjustRightInd w:val="0"/>
        <w:spacing w:line="240" w:lineRule="auto"/>
        <w:ind w:left="426" w:hanging="426"/>
      </w:pPr>
      <w:r w:rsidRPr="005530B7">
        <w:rPr>
          <w:rFonts w:ascii="Arial" w:hAnsi="Arial" w:cs="Arial"/>
          <w:color w:val="000000" w:themeColor="text1"/>
        </w:rPr>
        <w:lastRenderedPageBreak/>
        <w:t>This review may identify that further and/or more specific engineering assessment is required (</w:t>
      </w:r>
      <w:r w:rsidR="005530B7" w:rsidRPr="005530B7">
        <w:rPr>
          <w:rFonts w:ascii="Arial" w:hAnsi="Arial" w:cs="Arial"/>
          <w:color w:val="000000" w:themeColor="text1"/>
        </w:rPr>
        <w:t>e.g.,</w:t>
      </w:r>
      <w:r w:rsidRPr="005530B7">
        <w:rPr>
          <w:rFonts w:ascii="Arial" w:hAnsi="Arial" w:cs="Arial"/>
          <w:color w:val="000000" w:themeColor="text1"/>
        </w:rPr>
        <w:t xml:space="preserve"> Detailed Seismic Assessment, Targeted Seismic Assessment). </w:t>
      </w:r>
    </w:p>
    <w:p w14:paraId="5E50FA6A" w14:textId="77777777" w:rsidR="00873DFF" w:rsidRPr="00873DFF" w:rsidRDefault="00873DFF" w:rsidP="00873DFF">
      <w:pPr>
        <w:pStyle w:val="ListParagraph"/>
        <w:rPr>
          <w:rFonts w:ascii="Arial" w:hAnsi="Arial" w:cs="Arial"/>
          <w:color w:val="000000" w:themeColor="text1"/>
        </w:rPr>
      </w:pPr>
    </w:p>
    <w:p w14:paraId="2B03CDA4" w14:textId="3CD9A3F3" w:rsidR="00316736" w:rsidRPr="00FF31AB" w:rsidRDefault="005530B7" w:rsidP="00075CCC">
      <w:pPr>
        <w:pStyle w:val="ListParagraph"/>
        <w:numPr>
          <w:ilvl w:val="0"/>
          <w:numId w:val="1"/>
        </w:numPr>
        <w:autoSpaceDE w:val="0"/>
        <w:autoSpaceDN w:val="0"/>
        <w:adjustRightInd w:val="0"/>
        <w:spacing w:line="240" w:lineRule="auto"/>
        <w:ind w:left="426" w:hanging="426"/>
      </w:pPr>
      <w:r w:rsidRPr="007A4E9E">
        <w:rPr>
          <w:rFonts w:ascii="Arial" w:hAnsi="Arial" w:cs="Arial"/>
          <w:color w:val="000000" w:themeColor="text1"/>
        </w:rPr>
        <w:t>Assessment reports provided by a lessor or vendor are to be reviewed by the Trusted Seismic Advisor to ensure the assessment: </w:t>
      </w:r>
    </w:p>
    <w:p w14:paraId="5B27B803" w14:textId="77777777" w:rsidR="00FF31AB" w:rsidRDefault="00FF31AB" w:rsidP="00FF31AB">
      <w:pPr>
        <w:pStyle w:val="ListParagraph"/>
      </w:pPr>
    </w:p>
    <w:p w14:paraId="553C07D9" w14:textId="42839496" w:rsidR="005530B7" w:rsidRPr="007C7FD1" w:rsidRDefault="005530B7" w:rsidP="00075CCC">
      <w:pPr>
        <w:pStyle w:val="ListParagraph"/>
        <w:numPr>
          <w:ilvl w:val="2"/>
          <w:numId w:val="1"/>
        </w:numPr>
        <w:autoSpaceDE w:val="0"/>
        <w:autoSpaceDN w:val="0"/>
        <w:adjustRightInd w:val="0"/>
        <w:spacing w:line="240" w:lineRule="auto"/>
        <w:rPr>
          <w:rStyle w:val="eop"/>
        </w:rPr>
      </w:pPr>
      <w:r w:rsidRPr="00FF31AB">
        <w:rPr>
          <w:rStyle w:val="eop"/>
          <w:rFonts w:ascii="Arial" w:hAnsi="Arial" w:cs="Arial"/>
          <w:color w:val="000000" w:themeColor="text1"/>
        </w:rPr>
        <w:t xml:space="preserve">Has been carried out by a suitably qualified and experienced </w:t>
      </w:r>
      <w:proofErr w:type="gramStart"/>
      <w:r w:rsidRPr="00FF31AB">
        <w:rPr>
          <w:rStyle w:val="eop"/>
          <w:rFonts w:ascii="Arial" w:hAnsi="Arial" w:cs="Arial"/>
          <w:color w:val="000000" w:themeColor="text1"/>
        </w:rPr>
        <w:t>engineer</w:t>
      </w:r>
      <w:proofErr w:type="gramEnd"/>
    </w:p>
    <w:p w14:paraId="4C279EDC" w14:textId="366DE6FF" w:rsidR="00233F39" w:rsidRPr="007C7FD1" w:rsidRDefault="00233F39" w:rsidP="00075CCC">
      <w:pPr>
        <w:pStyle w:val="ListParagraph"/>
        <w:numPr>
          <w:ilvl w:val="2"/>
          <w:numId w:val="1"/>
        </w:numPr>
        <w:autoSpaceDE w:val="0"/>
        <w:autoSpaceDN w:val="0"/>
        <w:adjustRightInd w:val="0"/>
        <w:spacing w:line="240" w:lineRule="auto"/>
        <w:rPr>
          <w:rStyle w:val="eop"/>
        </w:rPr>
      </w:pPr>
      <w:r w:rsidRPr="007C7FD1">
        <w:rPr>
          <w:rStyle w:val="eop"/>
          <w:rFonts w:ascii="Arial" w:hAnsi="Arial" w:cs="Arial"/>
          <w:color w:val="000000" w:themeColor="text1"/>
        </w:rPr>
        <w:t xml:space="preserve">Is consistent with the latest industry guidelines </w:t>
      </w:r>
      <w:r w:rsidRPr="007C7FD1">
        <w:rPr>
          <w:rStyle w:val="normaltextrun"/>
          <w:rFonts w:ascii="Calibri" w:hAnsi="Calibri" w:cs="Calibri"/>
          <w:color w:val="000000"/>
          <w:shd w:val="clear" w:color="auto" w:fill="FFFFFF"/>
          <w:lang w:val="en-US"/>
        </w:rPr>
        <w:t xml:space="preserve">(e.g. </w:t>
      </w:r>
      <w:hyperlink r:id="rId23" w:tgtFrame="_blank" w:history="1">
        <w:r w:rsidRPr="00824C99">
          <w:rPr>
            <w:rStyle w:val="normaltextrun"/>
            <w:rFonts w:ascii="Arial" w:hAnsi="Arial" w:cs="Arial"/>
            <w:color w:val="2F5496" w:themeColor="accent1" w:themeShade="BF"/>
            <w:u w:val="single"/>
            <w:shd w:val="clear" w:color="auto" w:fill="FFFFFF"/>
            <w:lang w:val="en-US"/>
          </w:rPr>
          <w:t>MBIE 2017 Engineering Assessment Guidelines</w:t>
        </w:r>
      </w:hyperlink>
      <w:r w:rsidRPr="00824C99">
        <w:rPr>
          <w:rStyle w:val="normaltextrun"/>
          <w:rFonts w:ascii="Arial" w:hAnsi="Arial" w:cs="Arial"/>
          <w:color w:val="2F5496" w:themeColor="accent1" w:themeShade="BF"/>
          <w:shd w:val="clear" w:color="auto" w:fill="FFFFFF"/>
          <w:lang w:val="en-US"/>
        </w:rPr>
        <w:t>)</w:t>
      </w:r>
      <w:r w:rsidRPr="00824C99">
        <w:rPr>
          <w:rStyle w:val="normaltextrun"/>
          <w:rFonts w:ascii="Calibri" w:hAnsi="Calibri" w:cs="Calibri"/>
          <w:color w:val="2F5496" w:themeColor="accent1" w:themeShade="BF"/>
          <w:shd w:val="clear" w:color="auto" w:fill="FFFFFF"/>
          <w:lang w:val="en-US"/>
        </w:rPr>
        <w:t xml:space="preserve"> </w:t>
      </w:r>
      <w:r w:rsidRPr="007C7FD1">
        <w:rPr>
          <w:rStyle w:val="eop"/>
          <w:rFonts w:ascii="Arial" w:hAnsi="Arial" w:cs="Arial"/>
          <w:color w:val="000000" w:themeColor="text1"/>
        </w:rPr>
        <w:t xml:space="preserve">and any subsequent </w:t>
      </w:r>
      <w:r w:rsidR="00120967" w:rsidRPr="007C7FD1">
        <w:rPr>
          <w:rStyle w:val="eop"/>
          <w:rFonts w:ascii="Arial" w:hAnsi="Arial" w:cs="Arial"/>
          <w:color w:val="000000" w:themeColor="text1"/>
        </w:rPr>
        <w:t>amendments</w:t>
      </w:r>
    </w:p>
    <w:p w14:paraId="38671C0A" w14:textId="0135649D" w:rsidR="00120967" w:rsidRPr="007C7FD1" w:rsidRDefault="008C7DA1" w:rsidP="00075CCC">
      <w:pPr>
        <w:pStyle w:val="ListParagraph"/>
        <w:numPr>
          <w:ilvl w:val="2"/>
          <w:numId w:val="1"/>
        </w:numPr>
        <w:autoSpaceDE w:val="0"/>
        <w:autoSpaceDN w:val="0"/>
        <w:adjustRightInd w:val="0"/>
        <w:spacing w:line="240" w:lineRule="auto"/>
        <w:rPr>
          <w:rStyle w:val="eop"/>
        </w:rPr>
      </w:pPr>
      <w:r w:rsidRPr="007C7FD1">
        <w:rPr>
          <w:rStyle w:val="eop"/>
          <w:rFonts w:ascii="Arial" w:hAnsi="Arial" w:cs="Arial"/>
          <w:color w:val="000000" w:themeColor="text1"/>
        </w:rPr>
        <w:t>Provides a sufficient level of detail and confidence in the resultant %NBS score.</w:t>
      </w:r>
    </w:p>
    <w:p w14:paraId="78619806" w14:textId="77777777" w:rsidR="00FC4405" w:rsidRDefault="00FC4405" w:rsidP="00FC4405">
      <w:pPr>
        <w:pStyle w:val="ListParagraph"/>
        <w:ind w:left="1440"/>
        <w:rPr>
          <w:rStyle w:val="eop"/>
          <w:rFonts w:ascii="Arial" w:hAnsi="Arial" w:cs="Arial"/>
          <w:color w:val="000000" w:themeColor="text1"/>
        </w:rPr>
      </w:pPr>
    </w:p>
    <w:p w14:paraId="347BCCD8" w14:textId="03D967BB" w:rsidR="00AE4E32" w:rsidRPr="00D80D72" w:rsidRDefault="00AE4E32" w:rsidP="00075CCC">
      <w:pPr>
        <w:pStyle w:val="ListParagraph"/>
        <w:numPr>
          <w:ilvl w:val="0"/>
          <w:numId w:val="1"/>
        </w:numPr>
        <w:autoSpaceDE w:val="0"/>
        <w:autoSpaceDN w:val="0"/>
        <w:adjustRightInd w:val="0"/>
        <w:spacing w:line="240" w:lineRule="auto"/>
        <w:ind w:left="426" w:hanging="426"/>
        <w:rPr>
          <w:rStyle w:val="eop"/>
        </w:rPr>
      </w:pPr>
      <w:r w:rsidRPr="00FC4405">
        <w:rPr>
          <w:rStyle w:val="eop"/>
          <w:rFonts w:ascii="Arial" w:hAnsi="Arial" w:cs="Arial"/>
          <w:color w:val="000000" w:themeColor="text1"/>
        </w:rPr>
        <w:t>It is generally expected that an engineering review or further assessment will not be required for one- and two-story buildings of predominantly lightweight construction.</w:t>
      </w:r>
    </w:p>
    <w:p w14:paraId="466D24A2" w14:textId="77777777" w:rsidR="00D80D72" w:rsidRPr="00D80D72" w:rsidRDefault="00D80D72" w:rsidP="00D80D72">
      <w:pPr>
        <w:pStyle w:val="ListParagraph"/>
        <w:autoSpaceDE w:val="0"/>
        <w:autoSpaceDN w:val="0"/>
        <w:adjustRightInd w:val="0"/>
        <w:spacing w:line="240" w:lineRule="auto"/>
        <w:ind w:left="426"/>
        <w:rPr>
          <w:rStyle w:val="eop"/>
        </w:rPr>
      </w:pPr>
    </w:p>
    <w:p w14:paraId="121D29CD" w14:textId="7330EA42" w:rsidR="00D80D72" w:rsidRPr="00FC4405" w:rsidRDefault="00D80D72" w:rsidP="00075CCC">
      <w:pPr>
        <w:pStyle w:val="ListParagraph"/>
        <w:numPr>
          <w:ilvl w:val="0"/>
          <w:numId w:val="1"/>
        </w:numPr>
        <w:autoSpaceDE w:val="0"/>
        <w:autoSpaceDN w:val="0"/>
        <w:adjustRightInd w:val="0"/>
        <w:spacing w:line="240" w:lineRule="auto"/>
        <w:ind w:left="426" w:hanging="426"/>
        <w:rPr>
          <w:rStyle w:val="eop"/>
        </w:rPr>
      </w:pPr>
      <w:r w:rsidRPr="00FC4405">
        <w:rPr>
          <w:rStyle w:val="eop"/>
          <w:rFonts w:ascii="Arial" w:hAnsi="Arial" w:cs="Arial"/>
          <w:color w:val="000000" w:themeColor="text1"/>
        </w:rPr>
        <w:t>For new acquisitions or leases, buildings should have a %NBS score of 67% or above. </w:t>
      </w:r>
    </w:p>
    <w:p w14:paraId="2FCEE35C" w14:textId="41E1E6B4" w:rsidR="000024C5" w:rsidRPr="000024C5" w:rsidRDefault="00AE4E32" w:rsidP="00D80D72">
      <w:pPr>
        <w:pStyle w:val="ListParagraph"/>
        <w:autoSpaceDE w:val="0"/>
        <w:autoSpaceDN w:val="0"/>
        <w:adjustRightInd w:val="0"/>
        <w:spacing w:line="240" w:lineRule="auto"/>
        <w:ind w:left="426"/>
        <w:rPr>
          <w:rStyle w:val="eop"/>
          <w:rFonts w:ascii="Arial" w:hAnsi="Arial" w:cs="Arial"/>
          <w:color w:val="000000" w:themeColor="text1"/>
        </w:rPr>
      </w:pPr>
      <w:r>
        <w:rPr>
          <w:rStyle w:val="eop"/>
          <w:rFonts w:ascii="Calibri" w:hAnsi="Calibri" w:cs="Calibri"/>
          <w:color w:val="000000"/>
          <w:shd w:val="clear" w:color="auto" w:fill="FFFFFF"/>
        </w:rPr>
        <w:t> </w:t>
      </w:r>
    </w:p>
    <w:p w14:paraId="7C35E9E7" w14:textId="79FEFFF4" w:rsidR="00AE4E32" w:rsidRDefault="000024C5" w:rsidP="00075CCC">
      <w:pPr>
        <w:pStyle w:val="ListParagraph"/>
        <w:numPr>
          <w:ilvl w:val="0"/>
          <w:numId w:val="1"/>
        </w:numPr>
        <w:autoSpaceDE w:val="0"/>
        <w:autoSpaceDN w:val="0"/>
        <w:adjustRightInd w:val="0"/>
        <w:spacing w:line="240" w:lineRule="auto"/>
        <w:ind w:left="426" w:hanging="426"/>
        <w:rPr>
          <w:rStyle w:val="eop"/>
          <w:rFonts w:ascii="Arial" w:hAnsi="Arial" w:cs="Arial"/>
          <w:color w:val="000000" w:themeColor="text1"/>
        </w:rPr>
      </w:pPr>
      <w:r w:rsidRPr="00FC4405">
        <w:rPr>
          <w:rStyle w:val="eop"/>
          <w:rFonts w:ascii="Arial" w:hAnsi="Arial" w:cs="Arial"/>
          <w:color w:val="000000" w:themeColor="text1"/>
        </w:rPr>
        <w:t>The decision to acquire a building with a %NBS score below 67% should only be undertaken if it has been assessed that the strengthening to a minimum of 67% is practical, feasible, and provides value-for-money. For proposed acquisitions in this situation, approval documentation (the investment case) must include an estimate of cost and time requirements for seismic strengthening works. </w:t>
      </w:r>
    </w:p>
    <w:p w14:paraId="2594655F" w14:textId="77777777" w:rsidR="00D93299" w:rsidRPr="00D93299" w:rsidRDefault="00D93299" w:rsidP="00D93299">
      <w:pPr>
        <w:pStyle w:val="ListParagraph"/>
        <w:rPr>
          <w:rStyle w:val="eop"/>
          <w:rFonts w:ascii="Arial" w:hAnsi="Arial" w:cs="Arial"/>
          <w:color w:val="000000" w:themeColor="text1"/>
        </w:rPr>
      </w:pPr>
    </w:p>
    <w:p w14:paraId="77020345" w14:textId="2DC81EE5" w:rsidR="00AE4E32" w:rsidRPr="0062088D" w:rsidRDefault="00FC4405" w:rsidP="00075CCC">
      <w:pPr>
        <w:pStyle w:val="ListParagraph"/>
        <w:numPr>
          <w:ilvl w:val="0"/>
          <w:numId w:val="1"/>
        </w:numPr>
        <w:autoSpaceDE w:val="0"/>
        <w:autoSpaceDN w:val="0"/>
        <w:adjustRightInd w:val="0"/>
        <w:spacing w:line="240" w:lineRule="auto"/>
        <w:ind w:left="426" w:hanging="426"/>
        <w:rPr>
          <w:rStyle w:val="eop"/>
        </w:rPr>
      </w:pPr>
      <w:r w:rsidRPr="00FC4405">
        <w:rPr>
          <w:rStyle w:val="eop"/>
          <w:rFonts w:ascii="Arial" w:hAnsi="Arial" w:cs="Arial"/>
          <w:color w:val="000000" w:themeColor="text1"/>
        </w:rPr>
        <w:t>In addition to the minimum %NBS score for new leases, the following provisions should be included in lease agreements: </w:t>
      </w:r>
    </w:p>
    <w:p w14:paraId="0BF5474F" w14:textId="77777777" w:rsidR="0062088D" w:rsidRDefault="0062088D" w:rsidP="0062088D">
      <w:pPr>
        <w:pStyle w:val="ListParagraph"/>
        <w:rPr>
          <w:rStyle w:val="eop"/>
        </w:rPr>
      </w:pPr>
    </w:p>
    <w:p w14:paraId="51B107FD" w14:textId="17CC387B" w:rsidR="00BF0159" w:rsidRPr="0074585B" w:rsidRDefault="00BF0159" w:rsidP="00075CCC">
      <w:pPr>
        <w:pStyle w:val="ListParagraph"/>
        <w:numPr>
          <w:ilvl w:val="2"/>
          <w:numId w:val="1"/>
        </w:numPr>
        <w:autoSpaceDE w:val="0"/>
        <w:autoSpaceDN w:val="0"/>
        <w:adjustRightInd w:val="0"/>
        <w:spacing w:line="240" w:lineRule="auto"/>
        <w:rPr>
          <w:rStyle w:val="eop"/>
        </w:rPr>
      </w:pPr>
      <w:r w:rsidRPr="0074585B">
        <w:rPr>
          <w:rStyle w:val="eop"/>
          <w:rFonts w:ascii="Arial" w:hAnsi="Arial" w:cs="Arial"/>
          <w:color w:val="000000" w:themeColor="text1"/>
        </w:rPr>
        <w:t>a clearly defined and agreed-upon process to follow if the seismic rating of a leased building falls below 67%NBS (either due to a change in seismic assessment guidelines or because of damage caused by a future earthquake) </w:t>
      </w:r>
    </w:p>
    <w:p w14:paraId="37C2FC3C" w14:textId="19D3C17A" w:rsidR="00BF0159" w:rsidRPr="0074585B" w:rsidRDefault="00BF0159" w:rsidP="00075CCC">
      <w:pPr>
        <w:pStyle w:val="ListParagraph"/>
        <w:numPr>
          <w:ilvl w:val="2"/>
          <w:numId w:val="1"/>
        </w:numPr>
        <w:autoSpaceDE w:val="0"/>
        <w:autoSpaceDN w:val="0"/>
        <w:adjustRightInd w:val="0"/>
        <w:spacing w:line="240" w:lineRule="auto"/>
        <w:rPr>
          <w:rStyle w:val="eop"/>
        </w:rPr>
      </w:pPr>
      <w:r w:rsidRPr="0074585B">
        <w:rPr>
          <w:rStyle w:val="eop"/>
          <w:rFonts w:ascii="Arial" w:hAnsi="Arial" w:cs="Arial"/>
          <w:color w:val="000000" w:themeColor="text1"/>
        </w:rPr>
        <w:t xml:space="preserve">determine whether the lessee has the right to terminate a lease in a building if a seismic assessment finds the leased building to have a %NBS score below that when the lease agreement was </w:t>
      </w:r>
      <w:proofErr w:type="gramStart"/>
      <w:r w:rsidRPr="0074585B">
        <w:rPr>
          <w:rStyle w:val="eop"/>
          <w:rFonts w:ascii="Arial" w:hAnsi="Arial" w:cs="Arial"/>
          <w:color w:val="000000" w:themeColor="text1"/>
        </w:rPr>
        <w:t>signed</w:t>
      </w:r>
      <w:proofErr w:type="gramEnd"/>
      <w:r w:rsidRPr="0074585B">
        <w:rPr>
          <w:rStyle w:val="eop"/>
          <w:rFonts w:ascii="Arial" w:hAnsi="Arial" w:cs="Arial"/>
          <w:color w:val="000000" w:themeColor="text1"/>
        </w:rPr>
        <w:t> </w:t>
      </w:r>
    </w:p>
    <w:p w14:paraId="0E6DF0A2" w14:textId="48276704" w:rsidR="00FC4405" w:rsidRPr="0062088D" w:rsidRDefault="008E696B" w:rsidP="00075CCC">
      <w:pPr>
        <w:pStyle w:val="ListParagraph"/>
        <w:numPr>
          <w:ilvl w:val="2"/>
          <w:numId w:val="1"/>
        </w:numPr>
        <w:autoSpaceDE w:val="0"/>
        <w:autoSpaceDN w:val="0"/>
        <w:adjustRightInd w:val="0"/>
        <w:spacing w:line="240" w:lineRule="auto"/>
        <w:rPr>
          <w:rStyle w:val="eop"/>
        </w:rPr>
      </w:pPr>
      <w:r w:rsidRPr="0062088D">
        <w:rPr>
          <w:rStyle w:val="eop"/>
          <w:rFonts w:ascii="Arial" w:hAnsi="Arial" w:cs="Arial"/>
          <w:color w:val="000000" w:themeColor="text1"/>
        </w:rPr>
        <w:t xml:space="preserve">determine the time frame for seismic strengthening works if they are required to meet the minimum %NBS score outlined in the lease agreement, and arrangements to cover the costs for temporary </w:t>
      </w:r>
      <w:proofErr w:type="gramStart"/>
      <w:r w:rsidRPr="0062088D">
        <w:rPr>
          <w:rStyle w:val="eop"/>
          <w:rFonts w:ascii="Arial" w:hAnsi="Arial" w:cs="Arial"/>
          <w:color w:val="000000" w:themeColor="text1"/>
        </w:rPr>
        <w:t>relocation</w:t>
      </w:r>
      <w:proofErr w:type="gramEnd"/>
      <w:r w:rsidRPr="0062088D">
        <w:rPr>
          <w:rStyle w:val="eop"/>
          <w:rFonts w:ascii="Arial" w:hAnsi="Arial" w:cs="Arial"/>
          <w:color w:val="000000" w:themeColor="text1"/>
        </w:rPr>
        <w:t> </w:t>
      </w:r>
    </w:p>
    <w:p w14:paraId="4F9C5CC9" w14:textId="5D90FCD1" w:rsidR="00FC4405" w:rsidRPr="0062088D" w:rsidRDefault="008E696B" w:rsidP="00075CCC">
      <w:pPr>
        <w:pStyle w:val="ListParagraph"/>
        <w:numPr>
          <w:ilvl w:val="2"/>
          <w:numId w:val="1"/>
        </w:numPr>
        <w:autoSpaceDE w:val="0"/>
        <w:autoSpaceDN w:val="0"/>
        <w:adjustRightInd w:val="0"/>
        <w:spacing w:line="240" w:lineRule="auto"/>
        <w:rPr>
          <w:rStyle w:val="eop"/>
        </w:rPr>
      </w:pPr>
      <w:r w:rsidRPr="0062088D">
        <w:rPr>
          <w:rStyle w:val="eop"/>
          <w:rFonts w:ascii="Arial" w:hAnsi="Arial" w:cs="Arial"/>
          <w:color w:val="000000" w:themeColor="text1"/>
        </w:rPr>
        <w:t>a clearly defined and agreed-upon requirement for the lessor to commission a review of the leased building’s risk profile, following any change in the national seismic assessment guidelines. </w:t>
      </w:r>
    </w:p>
    <w:p w14:paraId="587291E1" w14:textId="77777777" w:rsidR="00FC4405" w:rsidRDefault="00FC4405" w:rsidP="00FC4405">
      <w:pPr>
        <w:pStyle w:val="ListParagraph"/>
        <w:rPr>
          <w:rStyle w:val="eop"/>
        </w:rPr>
      </w:pPr>
    </w:p>
    <w:p w14:paraId="3BCDAF48" w14:textId="04B84E37" w:rsidR="0004002B" w:rsidRPr="00ED5C07" w:rsidRDefault="00C931DB" w:rsidP="0043575B">
      <w:pPr>
        <w:pStyle w:val="Heading2"/>
        <w:rPr>
          <w:rFonts w:ascii="Arial" w:hAnsi="Arial" w:cs="Arial"/>
        </w:rPr>
      </w:pPr>
      <w:r>
        <w:rPr>
          <w:rFonts w:ascii="Arial" w:hAnsi="Arial" w:cs="Arial"/>
        </w:rPr>
        <w:t xml:space="preserve">Related </w:t>
      </w:r>
      <w:r w:rsidR="009F2859">
        <w:rPr>
          <w:rFonts w:ascii="Arial" w:hAnsi="Arial" w:cs="Arial"/>
        </w:rPr>
        <w:t xml:space="preserve">Standards, Strategies, </w:t>
      </w:r>
      <w:r>
        <w:rPr>
          <w:rFonts w:ascii="Arial" w:hAnsi="Arial" w:cs="Arial"/>
        </w:rPr>
        <w:t>Policies and Legislation</w:t>
      </w:r>
    </w:p>
    <w:p w14:paraId="0452F957" w14:textId="6A74B4D0" w:rsidR="00ED51A9" w:rsidRPr="00974947" w:rsidRDefault="000E4B65"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000000" w:themeColor="text1"/>
        </w:rPr>
      </w:pPr>
      <w:r>
        <w:rPr>
          <w:rStyle w:val="eop"/>
          <w:rFonts w:ascii="Arial" w:hAnsi="Arial" w:cs="Arial"/>
          <w:color w:val="000000" w:themeColor="text1"/>
        </w:rPr>
        <w:t>Design Guidance note: Seismic Technical Guidelines for the Design of Hospital Buildings</w:t>
      </w:r>
      <w:r w:rsidR="00ED51A9" w:rsidRPr="00974947">
        <w:rPr>
          <w:rStyle w:val="eop"/>
          <w:rFonts w:ascii="Arial" w:hAnsi="Arial" w:cs="Arial"/>
          <w:color w:val="000000" w:themeColor="text1"/>
        </w:rPr>
        <w:t xml:space="preserve"> </w:t>
      </w:r>
    </w:p>
    <w:p w14:paraId="4F68F598" w14:textId="310F6848" w:rsidR="008B760C" w:rsidRPr="008B760C" w:rsidRDefault="008B760C"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000000" w:themeColor="text1"/>
        </w:rPr>
      </w:pPr>
      <w:r w:rsidRPr="00CD6DA0">
        <w:rPr>
          <w:rStyle w:val="eop"/>
          <w:rFonts w:ascii="Arial" w:hAnsi="Arial" w:cs="Arial"/>
          <w:color w:val="000000" w:themeColor="text1"/>
        </w:rPr>
        <w:t>Seismic Risk Management Strategy </w:t>
      </w:r>
    </w:p>
    <w:p w14:paraId="37206660" w14:textId="35FA2496" w:rsidR="008B760C" w:rsidRPr="00521E9F" w:rsidRDefault="00CA45E5"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000000" w:themeColor="text1"/>
        </w:rPr>
      </w:pPr>
      <w:r>
        <w:rPr>
          <w:rStyle w:val="eop"/>
          <w:rFonts w:ascii="Arial" w:hAnsi="Arial" w:cs="Arial"/>
          <w:color w:val="000000" w:themeColor="text1"/>
        </w:rPr>
        <w:lastRenderedPageBreak/>
        <w:t xml:space="preserve">National </w:t>
      </w:r>
      <w:r w:rsidR="00521E9F" w:rsidRPr="00CD6DA0">
        <w:rPr>
          <w:rStyle w:val="eop"/>
          <w:rFonts w:ascii="Arial" w:hAnsi="Arial" w:cs="Arial"/>
          <w:color w:val="000000" w:themeColor="text1"/>
        </w:rPr>
        <w:t>Asset Management Policy </w:t>
      </w:r>
    </w:p>
    <w:p w14:paraId="44AD8367" w14:textId="25F86AA5" w:rsidR="00521E9F" w:rsidRPr="00521E9F" w:rsidRDefault="00521E9F"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000000" w:themeColor="text1"/>
        </w:rPr>
      </w:pPr>
      <w:r w:rsidRPr="00CD6DA0">
        <w:rPr>
          <w:rStyle w:val="eop"/>
          <w:rFonts w:ascii="Arial" w:hAnsi="Arial" w:cs="Arial"/>
          <w:color w:val="000000" w:themeColor="text1"/>
        </w:rPr>
        <w:t>National Asset Management Strategy </w:t>
      </w:r>
    </w:p>
    <w:p w14:paraId="462007FE" w14:textId="7C0507CC" w:rsidR="00521E9F" w:rsidRPr="005676AE" w:rsidRDefault="009E7C8C"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2F5496" w:themeColor="accent1" w:themeShade="BF"/>
        </w:rPr>
      </w:pPr>
      <w:hyperlink r:id="rId24" w:tgtFrame="_blank" w:history="1">
        <w:r w:rsidR="00521E9F" w:rsidRPr="005676AE">
          <w:rPr>
            <w:rStyle w:val="normaltextrun"/>
            <w:rFonts w:ascii="Arial" w:hAnsi="Arial" w:cs="Arial"/>
            <w:color w:val="2F5496" w:themeColor="accent1" w:themeShade="BF"/>
            <w:u w:val="single"/>
            <w:shd w:val="clear" w:color="auto" w:fill="FFFFFF"/>
            <w:lang w:val="en-GB"/>
          </w:rPr>
          <w:t>Building Act 2004</w:t>
        </w:r>
      </w:hyperlink>
      <w:r w:rsidR="00521E9F" w:rsidRPr="005676AE">
        <w:rPr>
          <w:rStyle w:val="eop"/>
          <w:rFonts w:ascii="Arial" w:hAnsi="Arial" w:cs="Arial"/>
          <w:color w:val="2F5496" w:themeColor="accent1" w:themeShade="BF"/>
          <w:shd w:val="clear" w:color="auto" w:fill="FFFFFF"/>
        </w:rPr>
        <w:t> </w:t>
      </w:r>
    </w:p>
    <w:p w14:paraId="68090A94" w14:textId="50C8B291" w:rsidR="00521E9F" w:rsidRPr="005676AE" w:rsidRDefault="009E7C8C"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2F5496" w:themeColor="accent1" w:themeShade="BF"/>
        </w:rPr>
      </w:pPr>
      <w:hyperlink r:id="rId25" w:tgtFrame="_blank" w:history="1">
        <w:r w:rsidR="002E74A4" w:rsidRPr="005676AE">
          <w:rPr>
            <w:rStyle w:val="normaltextrun"/>
            <w:rFonts w:ascii="Arial" w:hAnsi="Arial" w:cs="Arial"/>
            <w:color w:val="2F5496" w:themeColor="accent1" w:themeShade="BF"/>
            <w:u w:val="single"/>
            <w:shd w:val="clear" w:color="auto" w:fill="FFFFFF"/>
            <w:lang w:val="en-GB"/>
          </w:rPr>
          <w:t>MBIE Seismic Risk Guidance for Buildings July 2022</w:t>
        </w:r>
      </w:hyperlink>
      <w:r w:rsidR="002E74A4" w:rsidRPr="005676AE">
        <w:rPr>
          <w:rStyle w:val="eop"/>
          <w:rFonts w:ascii="Arial" w:hAnsi="Arial" w:cs="Arial"/>
          <w:color w:val="2F5496" w:themeColor="accent1" w:themeShade="BF"/>
          <w:shd w:val="clear" w:color="auto" w:fill="FFFFFF"/>
        </w:rPr>
        <w:t> </w:t>
      </w:r>
    </w:p>
    <w:p w14:paraId="3E77567E" w14:textId="1AFF8295" w:rsidR="002E74A4" w:rsidRPr="005676AE" w:rsidRDefault="009E7C8C"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2F5496" w:themeColor="accent1" w:themeShade="BF"/>
        </w:rPr>
      </w:pPr>
      <w:hyperlink r:id="rId26" w:tgtFrame="_blank" w:history="1">
        <w:r w:rsidR="00EA51D1" w:rsidRPr="005676AE">
          <w:rPr>
            <w:rStyle w:val="normaltextrun"/>
            <w:rFonts w:ascii="Arial" w:hAnsi="Arial" w:cs="Arial"/>
            <w:color w:val="2F5496" w:themeColor="accent1" w:themeShade="BF"/>
            <w:u w:val="single"/>
            <w:shd w:val="clear" w:color="auto" w:fill="FFFFFF"/>
            <w:lang w:val="en-GB"/>
          </w:rPr>
          <w:t>MBIE Engineering Assessment Guidelines July 2017</w:t>
        </w:r>
      </w:hyperlink>
      <w:r w:rsidR="00EA51D1" w:rsidRPr="005676AE">
        <w:rPr>
          <w:rStyle w:val="eop"/>
          <w:rFonts w:ascii="Arial" w:hAnsi="Arial" w:cs="Arial"/>
          <w:color w:val="2F5496" w:themeColor="accent1" w:themeShade="BF"/>
          <w:shd w:val="clear" w:color="auto" w:fill="FFFFFF"/>
        </w:rPr>
        <w:t> </w:t>
      </w:r>
    </w:p>
    <w:p w14:paraId="57414640" w14:textId="0F7B69B7" w:rsidR="00EA51D1" w:rsidRPr="005676AE" w:rsidRDefault="009E7C8C" w:rsidP="00075CCC">
      <w:pPr>
        <w:pStyle w:val="ListParagraph"/>
        <w:numPr>
          <w:ilvl w:val="0"/>
          <w:numId w:val="1"/>
        </w:numPr>
        <w:autoSpaceDE w:val="0"/>
        <w:autoSpaceDN w:val="0"/>
        <w:adjustRightInd w:val="0"/>
        <w:spacing w:line="240" w:lineRule="auto"/>
        <w:ind w:left="425" w:hanging="425"/>
        <w:contextualSpacing w:val="0"/>
        <w:rPr>
          <w:rStyle w:val="eop"/>
          <w:rFonts w:ascii="Arial" w:hAnsi="Arial" w:cs="Arial"/>
          <w:color w:val="2F5496" w:themeColor="accent1" w:themeShade="BF"/>
        </w:rPr>
      </w:pPr>
      <w:hyperlink r:id="rId27" w:tgtFrame="_blank" w:history="1">
        <w:r w:rsidR="00EA51D1" w:rsidRPr="005676AE">
          <w:rPr>
            <w:rStyle w:val="normaltextrun"/>
            <w:rFonts w:ascii="Arial" w:hAnsi="Arial" w:cs="Arial"/>
            <w:color w:val="2F5496" w:themeColor="accent1" w:themeShade="BF"/>
            <w:u w:val="single"/>
            <w:shd w:val="clear" w:color="auto" w:fill="FFFFFF"/>
            <w:lang w:val="en-GB"/>
          </w:rPr>
          <w:t>WorkSafe Position Statement 2018</w:t>
        </w:r>
      </w:hyperlink>
      <w:r w:rsidR="00EA51D1" w:rsidRPr="005676AE">
        <w:rPr>
          <w:rStyle w:val="eop"/>
          <w:rFonts w:ascii="Arial" w:hAnsi="Arial" w:cs="Arial"/>
          <w:color w:val="2F5496" w:themeColor="accent1" w:themeShade="BF"/>
          <w:shd w:val="clear" w:color="auto" w:fill="FFFFFF"/>
        </w:rPr>
        <w:t> </w:t>
      </w:r>
    </w:p>
    <w:p w14:paraId="0C933BF8" w14:textId="5C7361BB" w:rsidR="00EA51D1" w:rsidRPr="005676AE" w:rsidRDefault="009E7C8C"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2F5496" w:themeColor="accent1" w:themeShade="BF"/>
        </w:rPr>
      </w:pPr>
      <w:hyperlink r:id="rId28" w:tgtFrame="_blank" w:history="1">
        <w:r w:rsidR="00EA51D1" w:rsidRPr="005676AE">
          <w:rPr>
            <w:rStyle w:val="normaltextrun"/>
            <w:rFonts w:ascii="Arial" w:hAnsi="Arial" w:cs="Arial"/>
            <w:color w:val="2F5496" w:themeColor="accent1" w:themeShade="BF"/>
            <w:u w:val="single"/>
            <w:shd w:val="clear" w:color="auto" w:fill="FFFFFF"/>
            <w:lang w:val="en-GB"/>
          </w:rPr>
          <w:t>Health and Safety at Work Act 2015</w:t>
        </w:r>
      </w:hyperlink>
      <w:r w:rsidR="00EA51D1" w:rsidRPr="005676AE">
        <w:rPr>
          <w:rStyle w:val="normaltextrun"/>
          <w:rFonts w:ascii="Arial" w:hAnsi="Arial" w:cs="Arial"/>
          <w:color w:val="2F5496" w:themeColor="accent1" w:themeShade="BF"/>
          <w:shd w:val="clear" w:color="auto" w:fill="FFFFFF"/>
          <w:lang w:val="en-GB"/>
        </w:rPr>
        <w:t> </w:t>
      </w:r>
      <w:r w:rsidR="00EA51D1" w:rsidRPr="005676AE">
        <w:rPr>
          <w:rStyle w:val="eop"/>
          <w:rFonts w:ascii="Arial" w:hAnsi="Arial" w:cs="Arial"/>
          <w:color w:val="2F5496" w:themeColor="accent1" w:themeShade="BF"/>
          <w:shd w:val="clear" w:color="auto" w:fill="FFFFFF"/>
        </w:rPr>
        <w:t> </w:t>
      </w:r>
    </w:p>
    <w:p w14:paraId="54B825CA" w14:textId="2029F827" w:rsidR="00C403F4" w:rsidRPr="00ED5C07" w:rsidRDefault="00C403F4" w:rsidP="0043575B">
      <w:pPr>
        <w:pStyle w:val="Heading2"/>
        <w:rPr>
          <w:rFonts w:ascii="Arial" w:hAnsi="Arial" w:cs="Arial"/>
          <w:sz w:val="32"/>
          <w:szCs w:val="32"/>
        </w:rPr>
      </w:pPr>
      <w:r w:rsidRPr="00ED5C07">
        <w:rPr>
          <w:rFonts w:ascii="Arial" w:hAnsi="Arial" w:cs="Arial"/>
          <w:sz w:val="32"/>
          <w:szCs w:val="32"/>
        </w:rPr>
        <w:t xml:space="preserve">Roles and </w:t>
      </w:r>
      <w:r w:rsidR="00977080" w:rsidRPr="00ED5C07">
        <w:rPr>
          <w:rFonts w:ascii="Arial" w:hAnsi="Arial" w:cs="Arial"/>
          <w:sz w:val="32"/>
          <w:szCs w:val="32"/>
        </w:rPr>
        <w:t>R</w:t>
      </w:r>
      <w:r w:rsidRPr="00ED5C07">
        <w:rPr>
          <w:rFonts w:ascii="Arial" w:hAnsi="Arial" w:cs="Arial"/>
          <w:sz w:val="32"/>
          <w:szCs w:val="32"/>
        </w:rPr>
        <w:t>esponsibilities</w:t>
      </w:r>
    </w:p>
    <w:p w14:paraId="378EA5A7" w14:textId="4AA771E5" w:rsidR="00586AC0" w:rsidRPr="0084362F" w:rsidRDefault="00D15494"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84362F">
        <w:rPr>
          <w:rFonts w:ascii="Arial" w:hAnsi="Arial" w:cs="Arial"/>
          <w:color w:val="000000" w:themeColor="text1"/>
        </w:rPr>
        <w:t xml:space="preserve">The Board of </w:t>
      </w:r>
      <w:r w:rsidR="007C44AE" w:rsidRPr="0084362F">
        <w:rPr>
          <w:rFonts w:ascii="Arial" w:hAnsi="Arial" w:cs="Arial"/>
          <w:color w:val="000000" w:themeColor="text1"/>
        </w:rPr>
        <w:t xml:space="preserve">Te </w:t>
      </w:r>
      <w:proofErr w:type="spellStart"/>
      <w:r w:rsidR="007C44AE" w:rsidRPr="0084362F">
        <w:rPr>
          <w:rFonts w:ascii="Arial" w:hAnsi="Arial" w:cs="Arial"/>
          <w:color w:val="000000" w:themeColor="text1"/>
        </w:rPr>
        <w:t>Whatu</w:t>
      </w:r>
      <w:proofErr w:type="spellEnd"/>
      <w:r w:rsidR="007C44AE" w:rsidRPr="0084362F">
        <w:rPr>
          <w:rFonts w:ascii="Arial" w:hAnsi="Arial" w:cs="Arial"/>
          <w:color w:val="000000" w:themeColor="text1"/>
        </w:rPr>
        <w:t xml:space="preserve"> Ora</w:t>
      </w:r>
      <w:r w:rsidR="00586AC0" w:rsidRPr="0084362F">
        <w:rPr>
          <w:rFonts w:ascii="Arial" w:hAnsi="Arial" w:cs="Arial"/>
          <w:color w:val="000000" w:themeColor="text1"/>
        </w:rPr>
        <w:t xml:space="preserve"> is accountable to the </w:t>
      </w:r>
      <w:r w:rsidRPr="0084362F">
        <w:rPr>
          <w:rFonts w:ascii="Arial" w:hAnsi="Arial" w:cs="Arial"/>
          <w:color w:val="000000" w:themeColor="text1"/>
        </w:rPr>
        <w:t xml:space="preserve">Public Service Commissioner for </w:t>
      </w:r>
      <w:r w:rsidR="007C44AE" w:rsidRPr="0084362F">
        <w:rPr>
          <w:rFonts w:ascii="Arial" w:hAnsi="Arial" w:cs="Arial"/>
          <w:color w:val="000000" w:themeColor="text1"/>
        </w:rPr>
        <w:t xml:space="preserve">Te </w:t>
      </w:r>
      <w:proofErr w:type="spellStart"/>
      <w:r w:rsidR="007C44AE" w:rsidRPr="0084362F">
        <w:rPr>
          <w:rFonts w:ascii="Arial" w:hAnsi="Arial" w:cs="Arial"/>
          <w:color w:val="000000" w:themeColor="text1"/>
        </w:rPr>
        <w:t>Whatu</w:t>
      </w:r>
      <w:proofErr w:type="spellEnd"/>
      <w:r w:rsidR="007C44AE" w:rsidRPr="0084362F">
        <w:rPr>
          <w:rFonts w:ascii="Arial" w:hAnsi="Arial" w:cs="Arial"/>
          <w:color w:val="000000" w:themeColor="text1"/>
        </w:rPr>
        <w:t xml:space="preserve"> Ora</w:t>
      </w:r>
      <w:r w:rsidR="005B5B01" w:rsidRPr="0084362F">
        <w:rPr>
          <w:rFonts w:ascii="Arial" w:hAnsi="Arial" w:cs="Arial"/>
          <w:color w:val="000000" w:themeColor="text1"/>
        </w:rPr>
        <w:t>’s</w:t>
      </w:r>
      <w:r w:rsidRPr="0084362F">
        <w:rPr>
          <w:rFonts w:ascii="Arial" w:hAnsi="Arial" w:cs="Arial"/>
          <w:color w:val="000000" w:themeColor="text1"/>
        </w:rPr>
        <w:t xml:space="preserve"> performance in respect of the Act and this policy. </w:t>
      </w:r>
    </w:p>
    <w:p w14:paraId="7675C764" w14:textId="6E8B0767" w:rsidR="00586AC0" w:rsidRPr="0084362F" w:rsidRDefault="00806BCC"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84362F">
        <w:rPr>
          <w:rFonts w:ascii="Arial" w:hAnsi="Arial" w:cs="Arial"/>
          <w:color w:val="000000" w:themeColor="text1"/>
        </w:rPr>
        <w:t>The Chief Executive</w:t>
      </w:r>
      <w:r w:rsidR="00D15494" w:rsidRPr="0084362F">
        <w:rPr>
          <w:rFonts w:ascii="Arial" w:hAnsi="Arial" w:cs="Arial"/>
          <w:color w:val="000000" w:themeColor="text1"/>
        </w:rPr>
        <w:t xml:space="preserve"> </w:t>
      </w:r>
      <w:r w:rsidRPr="0084362F">
        <w:rPr>
          <w:rFonts w:ascii="Arial" w:hAnsi="Arial" w:cs="Arial"/>
          <w:color w:val="000000" w:themeColor="text1"/>
        </w:rPr>
        <w:t>is</w:t>
      </w:r>
      <w:r w:rsidR="00D15494" w:rsidRPr="0084362F">
        <w:rPr>
          <w:rFonts w:ascii="Arial" w:hAnsi="Arial" w:cs="Arial"/>
          <w:color w:val="000000" w:themeColor="text1"/>
        </w:rPr>
        <w:t xml:space="preserve"> responsible to the </w:t>
      </w:r>
      <w:r w:rsidR="003760A3" w:rsidRPr="0084362F">
        <w:rPr>
          <w:rFonts w:ascii="Arial" w:hAnsi="Arial" w:cs="Arial"/>
          <w:color w:val="000000" w:themeColor="text1"/>
        </w:rPr>
        <w:t>Board</w:t>
      </w:r>
      <w:r w:rsidR="00D15494" w:rsidRPr="0084362F">
        <w:rPr>
          <w:rFonts w:ascii="Arial" w:hAnsi="Arial" w:cs="Arial"/>
          <w:color w:val="000000" w:themeColor="text1"/>
        </w:rPr>
        <w:t xml:space="preserve"> for </w:t>
      </w:r>
      <w:r w:rsidR="00C635E2" w:rsidRPr="0084362F">
        <w:rPr>
          <w:rFonts w:ascii="Arial" w:hAnsi="Arial" w:cs="Arial"/>
          <w:color w:val="000000" w:themeColor="text1"/>
        </w:rPr>
        <w:t xml:space="preserve">ensuring compliance with this </w:t>
      </w:r>
      <w:r w:rsidR="005B3EE7" w:rsidRPr="0084362F">
        <w:rPr>
          <w:rFonts w:ascii="Arial" w:hAnsi="Arial" w:cs="Arial"/>
          <w:color w:val="000000" w:themeColor="text1"/>
        </w:rPr>
        <w:t>policy</w:t>
      </w:r>
      <w:r w:rsidR="00FA63E4">
        <w:rPr>
          <w:rFonts w:ascii="Arial" w:hAnsi="Arial" w:cs="Arial"/>
          <w:color w:val="000000" w:themeColor="text1"/>
        </w:rPr>
        <w:t>.</w:t>
      </w:r>
    </w:p>
    <w:p w14:paraId="1F6F2B5C" w14:textId="1517CCC2" w:rsidR="004776B5" w:rsidRPr="0084362F" w:rsidRDefault="00F74875"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84362F">
        <w:rPr>
          <w:rFonts w:ascii="Arial" w:hAnsi="Arial" w:cs="Arial"/>
          <w:color w:val="000000" w:themeColor="text1"/>
        </w:rPr>
        <w:t xml:space="preserve">The </w:t>
      </w:r>
      <w:r w:rsidR="009A6B87" w:rsidRPr="0084362F">
        <w:rPr>
          <w:rStyle w:val="ui-provider"/>
          <w:rFonts w:ascii="Arial" w:hAnsi="Arial" w:cs="Arial"/>
        </w:rPr>
        <w:t xml:space="preserve">Head of </w:t>
      </w:r>
      <w:r w:rsidR="00FD5748">
        <w:rPr>
          <w:rStyle w:val="ui-provider"/>
          <w:rFonts w:ascii="Arial" w:hAnsi="Arial" w:cs="Arial"/>
        </w:rPr>
        <w:t xml:space="preserve">Infrastructure </w:t>
      </w:r>
      <w:r w:rsidR="00091E29" w:rsidRPr="0084362F">
        <w:rPr>
          <w:rStyle w:val="ui-provider"/>
          <w:rFonts w:ascii="Arial" w:hAnsi="Arial" w:cs="Arial"/>
        </w:rPr>
        <w:t>Asset Management</w:t>
      </w:r>
      <w:r w:rsidR="009A6B87" w:rsidRPr="0084362F">
        <w:rPr>
          <w:rStyle w:val="ui-provider"/>
          <w:rFonts w:ascii="Arial" w:hAnsi="Arial" w:cs="Arial"/>
        </w:rPr>
        <w:t>, IIG</w:t>
      </w:r>
      <w:r w:rsidR="00FA63E4">
        <w:rPr>
          <w:rStyle w:val="ui-provider"/>
          <w:rFonts w:ascii="Arial" w:hAnsi="Arial" w:cs="Arial"/>
        </w:rPr>
        <w:t xml:space="preserve"> </w:t>
      </w:r>
      <w:r w:rsidR="0054167C" w:rsidRPr="0084362F">
        <w:rPr>
          <w:rFonts w:ascii="Arial" w:hAnsi="Arial" w:cs="Arial"/>
          <w:color w:val="000000" w:themeColor="text1"/>
        </w:rPr>
        <w:t>is responsible for</w:t>
      </w:r>
      <w:r w:rsidRPr="0084362F">
        <w:rPr>
          <w:rFonts w:ascii="Arial" w:hAnsi="Arial" w:cs="Arial"/>
          <w:color w:val="000000" w:themeColor="text1"/>
        </w:rPr>
        <w:t xml:space="preserve"> </w:t>
      </w:r>
      <w:r w:rsidRPr="0084362F">
        <w:rPr>
          <w:rStyle w:val="normaltextrun"/>
          <w:rFonts w:ascii="Arial" w:hAnsi="Arial" w:cs="Arial"/>
          <w:color w:val="000000"/>
          <w:shd w:val="clear" w:color="auto" w:fill="FFFFFF"/>
        </w:rPr>
        <w:t xml:space="preserve">the implementation of this policy and </w:t>
      </w:r>
      <w:r w:rsidR="00BF129E" w:rsidRPr="0084362F">
        <w:rPr>
          <w:rStyle w:val="normaltextrun"/>
          <w:rFonts w:ascii="Arial" w:hAnsi="Arial" w:cs="Arial"/>
          <w:color w:val="000000"/>
          <w:shd w:val="clear" w:color="auto" w:fill="FFFFFF"/>
        </w:rPr>
        <w:t xml:space="preserve">related </w:t>
      </w:r>
      <w:r w:rsidRPr="0084362F">
        <w:rPr>
          <w:rStyle w:val="normaltextrun"/>
          <w:rFonts w:ascii="Arial" w:hAnsi="Arial" w:cs="Arial"/>
          <w:color w:val="000000"/>
          <w:shd w:val="clear" w:color="auto" w:fill="FFFFFF"/>
        </w:rPr>
        <w:t xml:space="preserve">standards, </w:t>
      </w:r>
      <w:r w:rsidR="00B563CF" w:rsidRPr="0084362F">
        <w:rPr>
          <w:rStyle w:val="normaltextrun"/>
          <w:rFonts w:ascii="Arial" w:hAnsi="Arial" w:cs="Arial"/>
          <w:color w:val="000000"/>
          <w:shd w:val="clear" w:color="auto" w:fill="FFFFFF"/>
        </w:rPr>
        <w:t>guidance</w:t>
      </w:r>
      <w:r w:rsidRPr="0084362F">
        <w:rPr>
          <w:rStyle w:val="normaltextrun"/>
          <w:rFonts w:ascii="Arial" w:hAnsi="Arial" w:cs="Arial"/>
          <w:color w:val="000000"/>
          <w:shd w:val="clear" w:color="auto" w:fill="FFFFFF"/>
        </w:rPr>
        <w:t>, and processes</w:t>
      </w:r>
      <w:r w:rsidR="0084362F">
        <w:rPr>
          <w:rStyle w:val="normaltextrun"/>
          <w:rFonts w:ascii="Arial" w:hAnsi="Arial" w:cs="Arial"/>
          <w:color w:val="000000"/>
          <w:shd w:val="clear" w:color="auto" w:fill="FFFFFF"/>
        </w:rPr>
        <w:t>.</w:t>
      </w:r>
    </w:p>
    <w:p w14:paraId="06DF2EC9" w14:textId="0F3C5D48" w:rsidR="00D15494" w:rsidRPr="007964EC" w:rsidRDefault="007964EC"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7964EC">
        <w:rPr>
          <w:rFonts w:ascii="Arial" w:hAnsi="Arial" w:cs="Arial"/>
          <w:color w:val="000000" w:themeColor="text1"/>
        </w:rPr>
        <w:t xml:space="preserve">The </w:t>
      </w:r>
      <w:r w:rsidR="00FD5748" w:rsidRPr="007964EC">
        <w:rPr>
          <w:rFonts w:ascii="Arial" w:hAnsi="Arial" w:cs="Arial"/>
          <w:color w:val="000000" w:themeColor="text1"/>
        </w:rPr>
        <w:t xml:space="preserve">Group Manager </w:t>
      </w:r>
      <w:r w:rsidRPr="007964EC">
        <w:rPr>
          <w:rFonts w:ascii="Arial" w:hAnsi="Arial" w:cs="Arial"/>
          <w:color w:val="000000" w:themeColor="text1"/>
        </w:rPr>
        <w:t xml:space="preserve">Asset Risk and Compliance </w:t>
      </w:r>
      <w:r w:rsidR="00B9164B" w:rsidRPr="007964EC">
        <w:rPr>
          <w:rFonts w:ascii="Arial" w:hAnsi="Arial" w:cs="Arial"/>
          <w:color w:val="000000" w:themeColor="text1"/>
        </w:rPr>
        <w:t xml:space="preserve">is </w:t>
      </w:r>
      <w:r w:rsidR="00194FE6" w:rsidRPr="007964EC">
        <w:rPr>
          <w:rFonts w:ascii="Arial" w:hAnsi="Arial" w:cs="Arial"/>
          <w:color w:val="000000" w:themeColor="text1"/>
        </w:rPr>
        <w:t xml:space="preserve">responsible for updating this policy in accordance with review timelines. </w:t>
      </w:r>
    </w:p>
    <w:p w14:paraId="3B1277A3" w14:textId="77777777" w:rsidR="0054167C" w:rsidRPr="0084362F" w:rsidRDefault="0054167C" w:rsidP="0043575B">
      <w:pPr>
        <w:pStyle w:val="Heading2"/>
        <w:rPr>
          <w:rFonts w:ascii="Arial" w:hAnsi="Arial" w:cs="Arial"/>
          <w:sz w:val="32"/>
          <w:szCs w:val="32"/>
        </w:rPr>
      </w:pPr>
      <w:r w:rsidRPr="0084362F">
        <w:rPr>
          <w:rFonts w:ascii="Arial" w:hAnsi="Arial" w:cs="Arial"/>
          <w:sz w:val="32"/>
          <w:szCs w:val="32"/>
        </w:rPr>
        <w:t>Non-compliance with policy</w:t>
      </w:r>
    </w:p>
    <w:p w14:paraId="4E847EE8" w14:textId="04F90DC8" w:rsidR="0054167C" w:rsidRPr="0084362F" w:rsidRDefault="0054167C" w:rsidP="00075CCC">
      <w:pPr>
        <w:pStyle w:val="ListParagraph"/>
        <w:numPr>
          <w:ilvl w:val="0"/>
          <w:numId w:val="1"/>
        </w:numPr>
        <w:autoSpaceDE w:val="0"/>
        <w:autoSpaceDN w:val="0"/>
        <w:adjustRightInd w:val="0"/>
        <w:spacing w:line="240" w:lineRule="auto"/>
        <w:ind w:left="425" w:hanging="425"/>
        <w:contextualSpacing w:val="0"/>
        <w:rPr>
          <w:rStyle w:val="Hyperlink"/>
          <w:rFonts w:ascii="Arial" w:hAnsi="Arial" w:cs="Arial"/>
          <w:color w:val="000000" w:themeColor="text1"/>
          <w:u w:val="none"/>
        </w:rPr>
      </w:pPr>
      <w:r w:rsidRPr="0084362F">
        <w:rPr>
          <w:rFonts w:ascii="Arial" w:hAnsi="Arial" w:cs="Arial"/>
          <w:color w:val="000000" w:themeColor="text1"/>
        </w:rPr>
        <w:t>Failure by staff</w:t>
      </w:r>
      <w:r w:rsidR="00131640" w:rsidRPr="0084362F">
        <w:rPr>
          <w:rFonts w:ascii="Arial" w:hAnsi="Arial" w:cs="Arial"/>
          <w:color w:val="000000" w:themeColor="text1"/>
        </w:rPr>
        <w:t xml:space="preserve"> to fully comply</w:t>
      </w:r>
      <w:r w:rsidR="007C5821" w:rsidRPr="0084362F">
        <w:rPr>
          <w:rFonts w:ascii="Arial" w:hAnsi="Arial" w:cs="Arial"/>
          <w:color w:val="000000" w:themeColor="text1"/>
        </w:rPr>
        <w:t xml:space="preserve"> with t</w:t>
      </w:r>
      <w:r w:rsidR="007C5821" w:rsidRPr="0084362F">
        <w:rPr>
          <w:rFonts w:ascii="Arial" w:hAnsi="Arial" w:cs="Arial"/>
        </w:rPr>
        <w:t xml:space="preserve">his policy may result in </w:t>
      </w:r>
      <w:r w:rsidR="007C44AE" w:rsidRPr="0084362F">
        <w:rPr>
          <w:rFonts w:ascii="Arial" w:hAnsi="Arial" w:cs="Arial"/>
          <w:color w:val="000000" w:themeColor="text1"/>
        </w:rPr>
        <w:t xml:space="preserve">Te </w:t>
      </w:r>
      <w:proofErr w:type="spellStart"/>
      <w:r w:rsidR="007C44AE" w:rsidRPr="0084362F">
        <w:rPr>
          <w:rFonts w:ascii="Arial" w:hAnsi="Arial" w:cs="Arial"/>
          <w:color w:val="000000" w:themeColor="text1"/>
        </w:rPr>
        <w:t>Whatu</w:t>
      </w:r>
      <w:proofErr w:type="spellEnd"/>
      <w:r w:rsidR="007C44AE" w:rsidRPr="0084362F">
        <w:rPr>
          <w:rFonts w:ascii="Arial" w:hAnsi="Arial" w:cs="Arial"/>
          <w:color w:val="000000" w:themeColor="text1"/>
        </w:rPr>
        <w:t xml:space="preserve"> Ora</w:t>
      </w:r>
      <w:r w:rsidR="007C5821" w:rsidRPr="0084362F">
        <w:rPr>
          <w:rFonts w:ascii="Arial" w:hAnsi="Arial" w:cs="Arial"/>
        </w:rPr>
        <w:t xml:space="preserve"> taking disciplinary action in accordance with the</w:t>
      </w:r>
      <w:r w:rsidR="00014DAB" w:rsidRPr="0084362F">
        <w:rPr>
          <w:rFonts w:ascii="Arial" w:hAnsi="Arial" w:cs="Arial"/>
        </w:rPr>
        <w:t xml:space="preserve"> Code of Conduct</w:t>
      </w:r>
      <w:r w:rsidR="007C5821" w:rsidRPr="0084362F">
        <w:rPr>
          <w:rStyle w:val="Hyperlink"/>
          <w:rFonts w:ascii="Arial" w:hAnsi="Arial" w:cs="Arial"/>
          <w:u w:val="none"/>
        </w:rPr>
        <w:t>.</w:t>
      </w:r>
    </w:p>
    <w:p w14:paraId="0A482187" w14:textId="256DC21A" w:rsidR="00E461A4" w:rsidRPr="0084362F" w:rsidRDefault="00E461A4" w:rsidP="00E461A4">
      <w:pPr>
        <w:pStyle w:val="Heading2"/>
        <w:rPr>
          <w:rFonts w:ascii="Arial" w:hAnsi="Arial" w:cs="Arial"/>
          <w:sz w:val="32"/>
          <w:szCs w:val="32"/>
        </w:rPr>
      </w:pPr>
      <w:r w:rsidRPr="0084362F">
        <w:rPr>
          <w:rFonts w:ascii="Arial" w:hAnsi="Arial" w:cs="Arial"/>
          <w:sz w:val="32"/>
          <w:szCs w:val="32"/>
        </w:rPr>
        <w:t>Monitor and Review</w:t>
      </w:r>
    </w:p>
    <w:p w14:paraId="2603176D" w14:textId="775D139C" w:rsidR="00BA7985" w:rsidRDefault="00E461A4"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84362F">
        <w:rPr>
          <w:rFonts w:ascii="Arial" w:hAnsi="Arial" w:cs="Arial"/>
          <w:color w:val="000000" w:themeColor="text1"/>
        </w:rPr>
        <w:t xml:space="preserve">Key performance indicators that measure the effectiveness of this policy are incorporated into routine internal audit undertaken by, or on behalf of, the Policy Owner. </w:t>
      </w:r>
    </w:p>
    <w:p w14:paraId="6A8DAD2C" w14:textId="2FC2296B" w:rsidR="00D152D2" w:rsidRPr="00034632" w:rsidRDefault="00D152D2" w:rsidP="00075CCC">
      <w:pPr>
        <w:pStyle w:val="ListParagraph"/>
        <w:numPr>
          <w:ilvl w:val="0"/>
          <w:numId w:val="1"/>
        </w:numPr>
        <w:autoSpaceDE w:val="0"/>
        <w:autoSpaceDN w:val="0"/>
        <w:adjustRightInd w:val="0"/>
        <w:spacing w:line="240" w:lineRule="auto"/>
        <w:ind w:left="425" w:hanging="425"/>
        <w:contextualSpacing w:val="0"/>
        <w:rPr>
          <w:rFonts w:ascii="Arial" w:hAnsi="Arial" w:cs="Arial"/>
          <w:color w:val="000000" w:themeColor="text1"/>
        </w:rPr>
      </w:pPr>
      <w:r w:rsidRPr="00034632">
        <w:rPr>
          <w:rFonts w:ascii="Arial" w:hAnsi="Arial" w:cs="Arial"/>
          <w:color w:val="000000" w:themeColor="text1"/>
        </w:rPr>
        <w:t xml:space="preserve">This policy </w:t>
      </w:r>
      <w:r w:rsidR="003B7D7A" w:rsidRPr="00034632">
        <w:rPr>
          <w:rFonts w:ascii="Arial" w:hAnsi="Arial" w:cs="Arial"/>
          <w:color w:val="000000" w:themeColor="text1"/>
        </w:rPr>
        <w:t xml:space="preserve">will be reviewed every </w:t>
      </w:r>
      <w:r w:rsidR="004622C3" w:rsidRPr="00034632">
        <w:rPr>
          <w:rFonts w:ascii="Arial" w:hAnsi="Arial" w:cs="Arial"/>
          <w:color w:val="000000" w:themeColor="text1"/>
        </w:rPr>
        <w:t>three</w:t>
      </w:r>
      <w:r w:rsidR="003B7D7A" w:rsidRPr="00034632">
        <w:rPr>
          <w:rFonts w:ascii="Arial" w:hAnsi="Arial" w:cs="Arial"/>
          <w:color w:val="000000" w:themeColor="text1"/>
        </w:rPr>
        <w:t xml:space="preserve"> years</w:t>
      </w:r>
      <w:r w:rsidR="00842EF5" w:rsidRPr="00034632">
        <w:rPr>
          <w:rFonts w:ascii="Arial" w:hAnsi="Arial" w:cs="Arial"/>
          <w:color w:val="000000" w:themeColor="text1"/>
        </w:rPr>
        <w:t xml:space="preserve"> or when</w:t>
      </w:r>
      <w:r w:rsidR="008918EF" w:rsidRPr="00034632">
        <w:rPr>
          <w:rFonts w:ascii="Arial" w:hAnsi="Arial" w:cs="Arial"/>
          <w:color w:val="000000" w:themeColor="text1"/>
        </w:rPr>
        <w:t xml:space="preserve"> </w:t>
      </w:r>
      <w:r w:rsidR="00FA63E4" w:rsidRPr="00034632">
        <w:rPr>
          <w:rFonts w:ascii="Arial" w:hAnsi="Arial" w:cs="Arial"/>
          <w:color w:val="000000" w:themeColor="text1"/>
        </w:rPr>
        <w:t>substantial changes are required.</w:t>
      </w:r>
    </w:p>
    <w:sectPr w:rsidR="00D152D2" w:rsidRPr="00034632" w:rsidSect="00CE6009">
      <w:headerReference w:type="default" r:id="rId29"/>
      <w:footerReference w:type="default" r:id="rId30"/>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E572" w14:textId="77777777" w:rsidR="00C034C5" w:rsidRDefault="00C034C5" w:rsidP="0051771A">
      <w:pPr>
        <w:spacing w:after="0" w:line="240" w:lineRule="auto"/>
      </w:pPr>
      <w:r>
        <w:separator/>
      </w:r>
    </w:p>
  </w:endnote>
  <w:endnote w:type="continuationSeparator" w:id="0">
    <w:p w14:paraId="6CD75793" w14:textId="77777777" w:rsidR="00C034C5" w:rsidRDefault="00C034C5" w:rsidP="0051771A">
      <w:pPr>
        <w:spacing w:after="0" w:line="240" w:lineRule="auto"/>
      </w:pPr>
      <w:r>
        <w:continuationSeparator/>
      </w:r>
    </w:p>
  </w:endnote>
  <w:endnote w:type="continuationNotice" w:id="1">
    <w:p w14:paraId="036F6379" w14:textId="77777777" w:rsidR="00C034C5" w:rsidRDefault="00C03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756"/>
      <w:gridCol w:w="2966"/>
      <w:gridCol w:w="2150"/>
      <w:gridCol w:w="2144"/>
    </w:tblGrid>
    <w:tr w:rsidR="00CE6009" w:rsidRPr="00CE6009" w14:paraId="1897C7FC" w14:textId="77777777" w:rsidTr="453841B1">
      <w:trPr>
        <w:trHeight w:val="284"/>
      </w:trPr>
      <w:tc>
        <w:tcPr>
          <w:tcW w:w="1844" w:type="dxa"/>
          <w:shd w:val="clear" w:color="auto" w:fill="D9D9D9" w:themeFill="background1" w:themeFillShade="D9"/>
          <w:vAlign w:val="center"/>
        </w:tcPr>
        <w:p w14:paraId="7D923470" w14:textId="1B89B9E6" w:rsidR="00CE6009" w:rsidRPr="00CE6009" w:rsidRDefault="00CE6009" w:rsidP="00CE6009">
          <w:pPr>
            <w:rPr>
              <w:rStyle w:val="Hyperlink"/>
              <w:rFonts w:ascii="Arial" w:hAnsi="Arial" w:cs="Arial"/>
              <w:b/>
              <w:bCs/>
              <w:color w:val="000000" w:themeColor="text1"/>
              <w:sz w:val="18"/>
              <w:szCs w:val="18"/>
              <w:u w:val="none"/>
            </w:rPr>
          </w:pPr>
          <w:r w:rsidRPr="00CE6009">
            <w:rPr>
              <w:rStyle w:val="Hyperlink"/>
              <w:rFonts w:ascii="Arial" w:hAnsi="Arial" w:cs="Arial"/>
              <w:b/>
              <w:bCs/>
              <w:color w:val="000000" w:themeColor="text1"/>
              <w:sz w:val="18"/>
              <w:szCs w:val="18"/>
              <w:u w:val="none"/>
            </w:rPr>
            <w:t>OWNER</w:t>
          </w:r>
          <w:r w:rsidRPr="00CE6009">
            <w:rPr>
              <w:rFonts w:ascii="Arial" w:hAnsi="Arial" w:cs="Arial"/>
              <w:b/>
              <w:bCs/>
              <w:color w:val="000000" w:themeColor="text1"/>
              <w:sz w:val="18"/>
              <w:szCs w:val="18"/>
            </w:rPr>
            <w:tab/>
          </w:r>
        </w:p>
      </w:tc>
      <w:tc>
        <w:tcPr>
          <w:tcW w:w="3254" w:type="dxa"/>
          <w:vAlign w:val="center"/>
        </w:tcPr>
        <w:p w14:paraId="6CF2A41F" w14:textId="2FFAED4B" w:rsidR="00CE6009" w:rsidRPr="009A2E1E" w:rsidRDefault="009A6B87" w:rsidP="00CE6009">
          <w:pPr>
            <w:rPr>
              <w:rStyle w:val="Hyperlink"/>
              <w:rFonts w:ascii="Arial" w:hAnsi="Arial" w:cs="Arial"/>
              <w:color w:val="000000" w:themeColor="text1"/>
              <w:sz w:val="18"/>
              <w:szCs w:val="18"/>
              <w:u w:val="none"/>
            </w:rPr>
          </w:pPr>
          <w:r w:rsidRPr="009A6B87">
            <w:rPr>
              <w:rStyle w:val="Hyperlink"/>
              <w:rFonts w:ascii="Arial" w:hAnsi="Arial" w:cs="Arial"/>
              <w:color w:val="000000" w:themeColor="text1"/>
              <w:sz w:val="18"/>
              <w:szCs w:val="18"/>
              <w:u w:val="none"/>
            </w:rPr>
            <w:t xml:space="preserve">Head of </w:t>
          </w:r>
          <w:r w:rsidR="00DD3958">
            <w:rPr>
              <w:rStyle w:val="Hyperlink"/>
              <w:rFonts w:ascii="Arial" w:hAnsi="Arial" w:cs="Arial"/>
              <w:color w:val="000000" w:themeColor="text1"/>
              <w:sz w:val="18"/>
              <w:szCs w:val="18"/>
              <w:u w:val="none"/>
            </w:rPr>
            <w:t>Infrastructure Asset</w:t>
          </w:r>
          <w:r w:rsidRPr="009A6B87">
            <w:rPr>
              <w:rStyle w:val="Hyperlink"/>
              <w:rFonts w:ascii="Arial" w:hAnsi="Arial" w:cs="Arial"/>
              <w:color w:val="000000" w:themeColor="text1"/>
              <w:sz w:val="18"/>
              <w:szCs w:val="18"/>
              <w:u w:val="none"/>
            </w:rPr>
            <w:t xml:space="preserve"> Management,</w:t>
          </w:r>
          <w:r>
            <w:rPr>
              <w:rStyle w:val="ui-provider"/>
            </w:rPr>
            <w:t xml:space="preserve"> </w:t>
          </w:r>
          <w:proofErr w:type="gramStart"/>
          <w:r w:rsidR="00B847B0">
            <w:rPr>
              <w:rStyle w:val="Hyperlink"/>
              <w:rFonts w:ascii="Arial" w:hAnsi="Arial" w:cs="Arial"/>
              <w:color w:val="000000" w:themeColor="text1"/>
              <w:sz w:val="18"/>
              <w:szCs w:val="18"/>
              <w:u w:val="none"/>
            </w:rPr>
            <w:t>Infrastructure</w:t>
          </w:r>
          <w:proofErr w:type="gramEnd"/>
          <w:r w:rsidR="00B847B0">
            <w:rPr>
              <w:rStyle w:val="Hyperlink"/>
              <w:rFonts w:ascii="Arial" w:hAnsi="Arial" w:cs="Arial"/>
              <w:color w:val="000000" w:themeColor="text1"/>
              <w:sz w:val="18"/>
              <w:szCs w:val="18"/>
              <w:u w:val="none"/>
            </w:rPr>
            <w:t xml:space="preserve"> and Investment</w:t>
          </w:r>
          <w:r>
            <w:rPr>
              <w:rStyle w:val="Hyperlink"/>
              <w:rFonts w:ascii="Arial" w:hAnsi="Arial" w:cs="Arial"/>
              <w:color w:val="000000" w:themeColor="text1"/>
              <w:sz w:val="18"/>
              <w:szCs w:val="18"/>
              <w:u w:val="none"/>
            </w:rPr>
            <w:t xml:space="preserve"> </w:t>
          </w:r>
          <w:r>
            <w:rPr>
              <w:rStyle w:val="Hyperlink"/>
              <w:rFonts w:ascii="Arial" w:hAnsi="Arial" w:cs="Arial"/>
              <w:color w:val="000000" w:themeColor="text1"/>
              <w:sz w:val="18"/>
              <w:szCs w:val="18"/>
            </w:rPr>
            <w:t>Group</w:t>
          </w:r>
        </w:p>
      </w:tc>
      <w:tc>
        <w:tcPr>
          <w:tcW w:w="1572" w:type="dxa"/>
          <w:shd w:val="clear" w:color="auto" w:fill="D9D9D9" w:themeFill="background1" w:themeFillShade="D9"/>
          <w:vAlign w:val="center"/>
        </w:tcPr>
        <w:p w14:paraId="338F27C8" w14:textId="77777777" w:rsidR="00CE6009" w:rsidRPr="00CE6009" w:rsidRDefault="00CE6009" w:rsidP="00CE6009">
          <w:pPr>
            <w:rPr>
              <w:rStyle w:val="Hyperlink"/>
              <w:rFonts w:ascii="Arial" w:hAnsi="Arial" w:cs="Arial"/>
              <w:color w:val="000000" w:themeColor="text1"/>
              <w:sz w:val="18"/>
              <w:szCs w:val="18"/>
              <w:u w:val="none"/>
            </w:rPr>
          </w:pPr>
          <w:r w:rsidRPr="00CE6009">
            <w:rPr>
              <w:rStyle w:val="Hyperlink"/>
              <w:rFonts w:ascii="Arial" w:hAnsi="Arial" w:cs="Arial"/>
              <w:b/>
              <w:bCs/>
              <w:color w:val="000000" w:themeColor="text1"/>
              <w:sz w:val="18"/>
              <w:szCs w:val="18"/>
              <w:u w:val="none"/>
            </w:rPr>
            <w:t>DOC ID</w:t>
          </w:r>
        </w:p>
      </w:tc>
      <w:tc>
        <w:tcPr>
          <w:tcW w:w="2346" w:type="dxa"/>
          <w:vAlign w:val="center"/>
        </w:tcPr>
        <w:p w14:paraId="15F5FA80" w14:textId="5C39B3E9" w:rsidR="00CE6009" w:rsidRPr="00E339E0" w:rsidRDefault="007511C4" w:rsidP="00CE6009">
          <w:pPr>
            <w:rPr>
              <w:rStyle w:val="Hyperlink"/>
              <w:rFonts w:ascii="Arial" w:hAnsi="Arial" w:cs="Arial"/>
              <w:color w:val="000000" w:themeColor="text1"/>
              <w:sz w:val="18"/>
              <w:szCs w:val="18"/>
              <w:u w:val="none"/>
            </w:rPr>
          </w:pPr>
          <w:r w:rsidRPr="007511C4">
            <w:rPr>
              <w:rStyle w:val="Hyperlink"/>
              <w:rFonts w:ascii="Arial" w:hAnsi="Arial" w:cs="Arial"/>
              <w:color w:val="000000" w:themeColor="text1"/>
              <w:sz w:val="18"/>
              <w:szCs w:val="18"/>
              <w:u w:val="none"/>
            </w:rPr>
            <w:t>HNZ7001</w:t>
          </w:r>
        </w:p>
      </w:tc>
    </w:tr>
    <w:tr w:rsidR="00CE6009" w:rsidRPr="00CE6009" w14:paraId="5A8CF378" w14:textId="77777777" w:rsidTr="453841B1">
      <w:trPr>
        <w:trHeight w:val="284"/>
      </w:trPr>
      <w:tc>
        <w:tcPr>
          <w:tcW w:w="1844" w:type="dxa"/>
          <w:shd w:val="clear" w:color="auto" w:fill="D9D9D9" w:themeFill="background1" w:themeFillShade="D9"/>
          <w:vAlign w:val="center"/>
        </w:tcPr>
        <w:p w14:paraId="11DFCCF7" w14:textId="77777777" w:rsidR="00CE6009" w:rsidRPr="00CE6009" w:rsidRDefault="00CE6009" w:rsidP="00CE6009">
          <w:pPr>
            <w:rPr>
              <w:rStyle w:val="Hyperlink"/>
              <w:rFonts w:ascii="Arial" w:hAnsi="Arial" w:cs="Arial"/>
              <w:b/>
              <w:bCs/>
              <w:color w:val="000000" w:themeColor="text1"/>
              <w:sz w:val="18"/>
              <w:szCs w:val="18"/>
              <w:u w:val="none"/>
            </w:rPr>
          </w:pPr>
          <w:r w:rsidRPr="00CE6009">
            <w:rPr>
              <w:rStyle w:val="Hyperlink"/>
              <w:rFonts w:ascii="Arial" w:hAnsi="Arial" w:cs="Arial"/>
              <w:b/>
              <w:bCs/>
              <w:color w:val="000000" w:themeColor="text1"/>
              <w:sz w:val="18"/>
              <w:szCs w:val="18"/>
              <w:u w:val="none"/>
            </w:rPr>
            <w:t>PUBLISHED</w:t>
          </w:r>
        </w:p>
      </w:tc>
      <w:tc>
        <w:tcPr>
          <w:tcW w:w="2480" w:type="dxa"/>
          <w:vAlign w:val="center"/>
        </w:tcPr>
        <w:p w14:paraId="51C6DEF8" w14:textId="327B2966" w:rsidR="00CE6009" w:rsidRPr="001149E6" w:rsidRDefault="453841B1" w:rsidP="453841B1">
          <w:pPr>
            <w:spacing w:line="259" w:lineRule="auto"/>
            <w:rPr>
              <w:rStyle w:val="Hyperlink"/>
              <w:color w:val="000000" w:themeColor="text1"/>
              <w:sz w:val="18"/>
              <w:szCs w:val="18"/>
              <w:highlight w:val="yellow"/>
            </w:rPr>
          </w:pPr>
          <w:r w:rsidRPr="453841B1">
            <w:rPr>
              <w:rStyle w:val="Hyperlink"/>
              <w:color w:val="000000" w:themeColor="text1"/>
              <w:sz w:val="18"/>
              <w:szCs w:val="18"/>
            </w:rPr>
            <w:t>February 2024</w:t>
          </w:r>
        </w:p>
      </w:tc>
      <w:tc>
        <w:tcPr>
          <w:tcW w:w="2346" w:type="dxa"/>
          <w:shd w:val="clear" w:color="auto" w:fill="D9D9D9" w:themeFill="background1" w:themeFillShade="D9"/>
          <w:vAlign w:val="center"/>
        </w:tcPr>
        <w:p w14:paraId="5564B59F" w14:textId="77777777" w:rsidR="00CE6009" w:rsidRPr="00CE6009" w:rsidRDefault="00CE6009" w:rsidP="00CE6009">
          <w:pPr>
            <w:rPr>
              <w:rStyle w:val="Hyperlink"/>
              <w:rFonts w:ascii="Arial" w:hAnsi="Arial" w:cs="Arial"/>
              <w:color w:val="000000" w:themeColor="text1"/>
              <w:sz w:val="18"/>
              <w:szCs w:val="18"/>
              <w:u w:val="none"/>
            </w:rPr>
          </w:pPr>
          <w:r w:rsidRPr="00CE6009">
            <w:rPr>
              <w:rStyle w:val="Hyperlink"/>
              <w:rFonts w:ascii="Arial" w:hAnsi="Arial" w:cs="Arial"/>
              <w:b/>
              <w:bCs/>
              <w:color w:val="000000" w:themeColor="text1"/>
              <w:sz w:val="18"/>
              <w:szCs w:val="18"/>
              <w:u w:val="none"/>
            </w:rPr>
            <w:t>VERSION</w:t>
          </w:r>
        </w:p>
      </w:tc>
      <w:tc>
        <w:tcPr>
          <w:tcW w:w="2346" w:type="dxa"/>
          <w:vAlign w:val="center"/>
        </w:tcPr>
        <w:p w14:paraId="13987353" w14:textId="1EC76F1B" w:rsidR="00CE6009" w:rsidRPr="00CE6009" w:rsidRDefault="453841B1" w:rsidP="00CE6009">
          <w:pPr>
            <w:rPr>
              <w:rStyle w:val="Hyperlink"/>
              <w:rFonts w:ascii="Arial" w:hAnsi="Arial" w:cs="Arial"/>
              <w:color w:val="000000" w:themeColor="text1"/>
              <w:sz w:val="18"/>
              <w:szCs w:val="18"/>
              <w:u w:val="none"/>
            </w:rPr>
          </w:pPr>
          <w:r w:rsidRPr="453841B1">
            <w:rPr>
              <w:rStyle w:val="Hyperlink"/>
              <w:rFonts w:ascii="Arial" w:hAnsi="Arial" w:cs="Arial"/>
              <w:color w:val="000000" w:themeColor="text1"/>
              <w:sz w:val="18"/>
              <w:szCs w:val="18"/>
              <w:u w:val="none"/>
            </w:rPr>
            <w:t>FINAL</w:t>
          </w:r>
        </w:p>
      </w:tc>
    </w:tr>
    <w:tr w:rsidR="00CE6009" w:rsidRPr="00CE6009" w14:paraId="55F988C7" w14:textId="77777777" w:rsidTr="453841B1">
      <w:trPr>
        <w:trHeight w:val="284"/>
      </w:trPr>
      <w:tc>
        <w:tcPr>
          <w:tcW w:w="1844" w:type="dxa"/>
          <w:shd w:val="clear" w:color="auto" w:fill="D9D9D9" w:themeFill="background1" w:themeFillShade="D9"/>
          <w:vAlign w:val="center"/>
        </w:tcPr>
        <w:p w14:paraId="6C6524E6" w14:textId="77777777" w:rsidR="00CE6009" w:rsidRPr="00CE6009" w:rsidRDefault="00CE6009" w:rsidP="00CE6009">
          <w:pPr>
            <w:rPr>
              <w:rStyle w:val="Hyperlink"/>
              <w:rFonts w:ascii="Arial" w:hAnsi="Arial" w:cs="Arial"/>
              <w:b/>
              <w:bCs/>
              <w:color w:val="000000" w:themeColor="text1"/>
              <w:sz w:val="18"/>
              <w:szCs w:val="18"/>
              <w:u w:val="none"/>
            </w:rPr>
          </w:pPr>
          <w:r w:rsidRPr="00CE6009">
            <w:rPr>
              <w:rStyle w:val="Hyperlink"/>
              <w:rFonts w:ascii="Arial" w:hAnsi="Arial" w:cs="Arial"/>
              <w:b/>
              <w:bCs/>
              <w:color w:val="000000" w:themeColor="text1"/>
              <w:sz w:val="18"/>
              <w:szCs w:val="18"/>
              <w:u w:val="none"/>
            </w:rPr>
            <w:t>REVIEW DUE</w:t>
          </w:r>
        </w:p>
      </w:tc>
      <w:tc>
        <w:tcPr>
          <w:tcW w:w="2480" w:type="dxa"/>
          <w:vAlign w:val="center"/>
        </w:tcPr>
        <w:p w14:paraId="7F457161" w14:textId="59FA8AEC" w:rsidR="00CE6009" w:rsidRPr="001149E6" w:rsidRDefault="453841B1" w:rsidP="453841B1">
          <w:pPr>
            <w:rPr>
              <w:rStyle w:val="Hyperlink"/>
              <w:rFonts w:ascii="Arial" w:hAnsi="Arial" w:cs="Arial"/>
              <w:color w:val="000000" w:themeColor="text1"/>
              <w:sz w:val="18"/>
              <w:szCs w:val="18"/>
              <w:u w:val="none"/>
            </w:rPr>
          </w:pPr>
          <w:r w:rsidRPr="453841B1">
            <w:rPr>
              <w:rStyle w:val="Hyperlink"/>
              <w:color w:val="000000" w:themeColor="text1"/>
              <w:sz w:val="18"/>
              <w:szCs w:val="18"/>
            </w:rPr>
            <w:t>February 2027</w:t>
          </w:r>
        </w:p>
      </w:tc>
      <w:tc>
        <w:tcPr>
          <w:tcW w:w="2346" w:type="dxa"/>
          <w:shd w:val="clear" w:color="auto" w:fill="D9D9D9" w:themeFill="background1" w:themeFillShade="D9"/>
          <w:vAlign w:val="center"/>
        </w:tcPr>
        <w:p w14:paraId="261B90BF" w14:textId="77777777" w:rsidR="00CE6009" w:rsidRPr="00CE6009" w:rsidRDefault="00CE6009" w:rsidP="00CE6009">
          <w:pPr>
            <w:rPr>
              <w:rStyle w:val="Hyperlink"/>
              <w:rFonts w:ascii="Arial" w:hAnsi="Arial" w:cs="Arial"/>
              <w:b/>
              <w:bCs/>
              <w:color w:val="000000" w:themeColor="text1"/>
              <w:sz w:val="18"/>
              <w:szCs w:val="18"/>
              <w:u w:val="none"/>
            </w:rPr>
          </w:pPr>
          <w:r w:rsidRPr="00CE6009">
            <w:rPr>
              <w:rStyle w:val="Hyperlink"/>
              <w:rFonts w:ascii="Arial" w:hAnsi="Arial" w:cs="Arial"/>
              <w:b/>
              <w:bCs/>
              <w:color w:val="000000" w:themeColor="text1"/>
              <w:sz w:val="18"/>
              <w:szCs w:val="18"/>
              <w:u w:val="none"/>
            </w:rPr>
            <w:t>PAGE NUMBER</w:t>
          </w:r>
        </w:p>
      </w:tc>
      <w:tc>
        <w:tcPr>
          <w:tcW w:w="2346" w:type="dxa"/>
          <w:vAlign w:val="center"/>
        </w:tcPr>
        <w:p w14:paraId="0A8CC8A1" w14:textId="68FF30BB" w:rsidR="00CE6009" w:rsidRPr="007511C4" w:rsidRDefault="007511C4" w:rsidP="00CE6009">
          <w:pPr>
            <w:rPr>
              <w:rStyle w:val="Hyperlink"/>
              <w:rFonts w:ascii="Arial" w:hAnsi="Arial" w:cs="Arial"/>
              <w:color w:val="000000" w:themeColor="text1"/>
              <w:sz w:val="18"/>
              <w:szCs w:val="18"/>
              <w:u w:val="none"/>
            </w:rPr>
          </w:pPr>
          <w:r w:rsidRPr="007511C4">
            <w:rPr>
              <w:rStyle w:val="Hyperlink"/>
              <w:rFonts w:ascii="Arial" w:hAnsi="Arial" w:cs="Arial"/>
              <w:color w:val="000000" w:themeColor="text1"/>
              <w:sz w:val="18"/>
              <w:szCs w:val="18"/>
              <w:u w:val="none"/>
            </w:rPr>
            <w:t xml:space="preserve">Page </w:t>
          </w:r>
          <w:r w:rsidRPr="007511C4">
            <w:rPr>
              <w:rStyle w:val="Hyperlink"/>
              <w:rFonts w:ascii="Arial" w:hAnsi="Arial" w:cs="Arial"/>
              <w:color w:val="000000" w:themeColor="text1"/>
              <w:sz w:val="18"/>
              <w:szCs w:val="18"/>
              <w:u w:val="none"/>
            </w:rPr>
            <w:fldChar w:fldCharType="begin"/>
          </w:r>
          <w:r w:rsidRPr="007511C4">
            <w:rPr>
              <w:rStyle w:val="Hyperlink"/>
              <w:rFonts w:ascii="Arial" w:hAnsi="Arial" w:cs="Arial"/>
              <w:color w:val="000000" w:themeColor="text1"/>
              <w:sz w:val="18"/>
              <w:szCs w:val="18"/>
              <w:u w:val="none"/>
            </w:rPr>
            <w:instrText xml:space="preserve"> PAGE  \* Arabic  \* MERGEFORMAT </w:instrText>
          </w:r>
          <w:r w:rsidRPr="007511C4">
            <w:rPr>
              <w:rStyle w:val="Hyperlink"/>
              <w:rFonts w:ascii="Arial" w:hAnsi="Arial" w:cs="Arial"/>
              <w:color w:val="000000" w:themeColor="text1"/>
              <w:sz w:val="18"/>
              <w:szCs w:val="18"/>
              <w:u w:val="none"/>
            </w:rPr>
            <w:fldChar w:fldCharType="separate"/>
          </w:r>
          <w:r w:rsidRPr="007511C4">
            <w:rPr>
              <w:rStyle w:val="Hyperlink"/>
              <w:rFonts w:ascii="Arial" w:hAnsi="Arial" w:cs="Arial"/>
              <w:noProof/>
              <w:color w:val="000000" w:themeColor="text1"/>
              <w:sz w:val="18"/>
              <w:szCs w:val="18"/>
              <w:u w:val="none"/>
            </w:rPr>
            <w:t>1</w:t>
          </w:r>
          <w:r w:rsidRPr="007511C4">
            <w:rPr>
              <w:rStyle w:val="Hyperlink"/>
              <w:rFonts w:ascii="Arial" w:hAnsi="Arial" w:cs="Arial"/>
              <w:color w:val="000000" w:themeColor="text1"/>
              <w:sz w:val="18"/>
              <w:szCs w:val="18"/>
              <w:u w:val="none"/>
            </w:rPr>
            <w:fldChar w:fldCharType="end"/>
          </w:r>
          <w:r w:rsidRPr="007511C4">
            <w:rPr>
              <w:rStyle w:val="Hyperlink"/>
              <w:rFonts w:ascii="Arial" w:hAnsi="Arial" w:cs="Arial"/>
              <w:color w:val="000000" w:themeColor="text1"/>
              <w:sz w:val="18"/>
              <w:szCs w:val="18"/>
              <w:u w:val="none"/>
            </w:rPr>
            <w:t xml:space="preserve"> of </w:t>
          </w:r>
          <w:r w:rsidRPr="007511C4">
            <w:rPr>
              <w:rStyle w:val="Hyperlink"/>
              <w:rFonts w:ascii="Arial" w:hAnsi="Arial" w:cs="Arial"/>
              <w:color w:val="000000" w:themeColor="text1"/>
              <w:sz w:val="18"/>
              <w:szCs w:val="18"/>
              <w:u w:val="none"/>
            </w:rPr>
            <w:fldChar w:fldCharType="begin"/>
          </w:r>
          <w:r w:rsidRPr="007511C4">
            <w:rPr>
              <w:rStyle w:val="Hyperlink"/>
              <w:rFonts w:ascii="Arial" w:hAnsi="Arial" w:cs="Arial"/>
              <w:color w:val="000000" w:themeColor="text1"/>
              <w:sz w:val="18"/>
              <w:szCs w:val="18"/>
              <w:u w:val="none"/>
            </w:rPr>
            <w:instrText xml:space="preserve"> NUMPAGES  \* Arabic  \* MERGEFORMAT </w:instrText>
          </w:r>
          <w:r w:rsidRPr="007511C4">
            <w:rPr>
              <w:rStyle w:val="Hyperlink"/>
              <w:rFonts w:ascii="Arial" w:hAnsi="Arial" w:cs="Arial"/>
              <w:color w:val="000000" w:themeColor="text1"/>
              <w:sz w:val="18"/>
              <w:szCs w:val="18"/>
              <w:u w:val="none"/>
            </w:rPr>
            <w:fldChar w:fldCharType="separate"/>
          </w:r>
          <w:r w:rsidRPr="007511C4">
            <w:rPr>
              <w:rStyle w:val="Hyperlink"/>
              <w:rFonts w:ascii="Arial" w:hAnsi="Arial" w:cs="Arial"/>
              <w:noProof/>
              <w:color w:val="000000" w:themeColor="text1"/>
              <w:sz w:val="18"/>
              <w:szCs w:val="18"/>
              <w:u w:val="none"/>
            </w:rPr>
            <w:t>2</w:t>
          </w:r>
          <w:r w:rsidRPr="007511C4">
            <w:rPr>
              <w:rStyle w:val="Hyperlink"/>
              <w:rFonts w:ascii="Arial" w:hAnsi="Arial" w:cs="Arial"/>
              <w:color w:val="000000" w:themeColor="text1"/>
              <w:sz w:val="18"/>
              <w:szCs w:val="18"/>
              <w:u w:val="none"/>
            </w:rPr>
            <w:fldChar w:fldCharType="end"/>
          </w:r>
        </w:p>
      </w:tc>
    </w:tr>
  </w:tbl>
  <w:p w14:paraId="24F47C81" w14:textId="72751A4B" w:rsidR="00AD562D" w:rsidRDefault="00AD562D" w:rsidP="00CE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7B94" w14:textId="77777777" w:rsidR="00C034C5" w:rsidRDefault="00C034C5" w:rsidP="0051771A">
      <w:pPr>
        <w:spacing w:after="0" w:line="240" w:lineRule="auto"/>
      </w:pPr>
      <w:r>
        <w:separator/>
      </w:r>
    </w:p>
  </w:footnote>
  <w:footnote w:type="continuationSeparator" w:id="0">
    <w:p w14:paraId="1B8BDD41" w14:textId="77777777" w:rsidR="00C034C5" w:rsidRDefault="00C034C5" w:rsidP="0051771A">
      <w:pPr>
        <w:spacing w:after="0" w:line="240" w:lineRule="auto"/>
      </w:pPr>
      <w:r>
        <w:continuationSeparator/>
      </w:r>
    </w:p>
  </w:footnote>
  <w:footnote w:type="continuationNotice" w:id="1">
    <w:p w14:paraId="0CEE366B" w14:textId="77777777" w:rsidR="00C034C5" w:rsidRDefault="00C034C5">
      <w:pPr>
        <w:spacing w:after="0" w:line="240" w:lineRule="auto"/>
      </w:pPr>
    </w:p>
  </w:footnote>
  <w:footnote w:id="2">
    <w:p w14:paraId="28996261" w14:textId="7D924423" w:rsidR="001707CC" w:rsidRDefault="001707CC">
      <w:pPr>
        <w:pStyle w:val="FootnoteText"/>
      </w:pPr>
      <w:r>
        <w:rPr>
          <w:rStyle w:val="FootnoteReference"/>
        </w:rPr>
        <w:footnoteRef/>
      </w:r>
      <w:r>
        <w:t xml:space="preserve"> </w:t>
      </w:r>
      <w:r w:rsidR="000553E3" w:rsidRPr="000553E3">
        <w:t>https://www.gpg.govt.nz/guidance/leases/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100" w14:textId="02705A62" w:rsidR="00BD296E" w:rsidRDefault="00AD034E" w:rsidP="00BD296E">
    <w:pPr>
      <w:pStyle w:val="Header"/>
    </w:pPr>
    <w:r>
      <w:rPr>
        <w:noProof/>
      </w:rPr>
      <w:drawing>
        <wp:anchor distT="0" distB="0" distL="114300" distR="114300" simplePos="0" relativeHeight="251658240" behindDoc="0" locked="0" layoutInCell="1" allowOverlap="1" wp14:anchorId="27F4E589" wp14:editId="1528FB05">
          <wp:simplePos x="0" y="0"/>
          <wp:positionH relativeFrom="column">
            <wp:posOffset>3785190</wp:posOffset>
          </wp:positionH>
          <wp:positionV relativeFrom="paragraph">
            <wp:posOffset>50623</wp:posOffset>
          </wp:positionV>
          <wp:extent cx="2160000" cy="476102"/>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14:sizeRelH relativeFrom="page">
            <wp14:pctWidth>0</wp14:pctWidth>
          </wp14:sizeRelH>
          <wp14:sizeRelV relativeFrom="page">
            <wp14:pctHeight>0</wp14:pctHeight>
          </wp14:sizeRelV>
        </wp:anchor>
      </w:drawing>
    </w:r>
    <w:r w:rsidR="005C4E2C">
      <w:rPr>
        <w:noProof/>
      </w:rPr>
      <w:drawing>
        <wp:anchor distT="0" distB="0" distL="0" distR="0" simplePos="0" relativeHeight="251658241" behindDoc="1" locked="0" layoutInCell="1" allowOverlap="1" wp14:anchorId="233D85A1" wp14:editId="6032994D">
          <wp:simplePos x="0" y="0"/>
          <wp:positionH relativeFrom="page">
            <wp:align>right</wp:align>
          </wp:positionH>
          <wp:positionV relativeFrom="page">
            <wp:posOffset>34275</wp:posOffset>
          </wp:positionV>
          <wp:extent cx="7552053" cy="323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552053" cy="323850"/>
                  </a:xfrm>
                  <a:prstGeom prst="rect">
                    <a:avLst/>
                  </a:prstGeom>
                </pic:spPr>
              </pic:pic>
            </a:graphicData>
          </a:graphic>
        </wp:anchor>
      </w:drawing>
    </w:r>
  </w:p>
  <w:p w14:paraId="721D33DC" w14:textId="13C83C19" w:rsidR="002F013C" w:rsidRDefault="002F013C" w:rsidP="00494752">
    <w:pPr>
      <w:keepNext/>
      <w:keepLines/>
      <w:spacing w:after="0"/>
      <w:outlineLvl w:val="0"/>
      <w:rPr>
        <w:rFonts w:eastAsiaTheme="majorEastAsia" w:cstheme="minorHAnsi"/>
        <w:bCs/>
      </w:rPr>
    </w:pPr>
  </w:p>
  <w:p w14:paraId="655B7E99" w14:textId="65824FA6" w:rsidR="002F013C" w:rsidRDefault="002F013C" w:rsidP="00494752">
    <w:pPr>
      <w:keepNext/>
      <w:keepLines/>
      <w:spacing w:after="0"/>
      <w:outlineLvl w:val="0"/>
      <w:rPr>
        <w:rFonts w:eastAsiaTheme="majorEastAsia" w:cstheme="minorHAnsi"/>
        <w:bCs/>
      </w:rPr>
    </w:pPr>
  </w:p>
  <w:p w14:paraId="0214A135" w14:textId="25AE46D5" w:rsidR="00494752" w:rsidRPr="002F013C" w:rsidRDefault="00494752" w:rsidP="00494752">
    <w:pPr>
      <w:keepNext/>
      <w:keepLines/>
      <w:spacing w:after="0"/>
      <w:outlineLvl w:val="0"/>
      <w:rPr>
        <w:rFonts w:eastAsiaTheme="majorEastAsia" w:cstheme="minorHAnsi"/>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EB9"/>
    <w:multiLevelType w:val="multilevel"/>
    <w:tmpl w:val="B296C5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AD1B37"/>
    <w:multiLevelType w:val="multilevel"/>
    <w:tmpl w:val="7292AE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9C0317"/>
    <w:multiLevelType w:val="hybridMultilevel"/>
    <w:tmpl w:val="8B4C64E4"/>
    <w:lvl w:ilvl="0" w:tplc="1012D8E0">
      <w:start w:val="1"/>
      <w:numFmt w:val="decimal"/>
      <w:lvlText w:val="%1."/>
      <w:lvlJc w:val="left"/>
      <w:pPr>
        <w:ind w:left="720" w:hanging="360"/>
      </w:pPr>
      <w:rPr>
        <w:rFonts w:ascii="Arial" w:hAnsi="Arial" w:cs="Arial" w:hint="default"/>
        <w:color w:val="000000" w:themeColor="text1"/>
      </w:rPr>
    </w:lvl>
    <w:lvl w:ilvl="1" w:tplc="FFFFFFFF">
      <w:start w:val="1"/>
      <w:numFmt w:val="bullet"/>
      <w:lvlText w:val=""/>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AA1E9E"/>
    <w:multiLevelType w:val="multilevel"/>
    <w:tmpl w:val="B2A87F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6FA32A2"/>
    <w:multiLevelType w:val="multilevel"/>
    <w:tmpl w:val="78DC12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834A0A"/>
    <w:multiLevelType w:val="multilevel"/>
    <w:tmpl w:val="6F6C0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60636910">
    <w:abstractNumId w:val="2"/>
  </w:num>
  <w:num w:numId="2" w16cid:durableId="763496967">
    <w:abstractNumId w:val="4"/>
  </w:num>
  <w:num w:numId="3" w16cid:durableId="1480222651">
    <w:abstractNumId w:val="5"/>
  </w:num>
  <w:num w:numId="4" w16cid:durableId="961882785">
    <w:abstractNumId w:val="0"/>
  </w:num>
  <w:num w:numId="5" w16cid:durableId="407269089">
    <w:abstractNumId w:val="3"/>
  </w:num>
  <w:num w:numId="6" w16cid:durableId="22125796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62"/>
    <w:rsid w:val="000011B7"/>
    <w:rsid w:val="000024C5"/>
    <w:rsid w:val="00003704"/>
    <w:rsid w:val="00010939"/>
    <w:rsid w:val="0001352A"/>
    <w:rsid w:val="00014DAB"/>
    <w:rsid w:val="00016684"/>
    <w:rsid w:val="0001731B"/>
    <w:rsid w:val="000202BE"/>
    <w:rsid w:val="00024EC4"/>
    <w:rsid w:val="00024FEA"/>
    <w:rsid w:val="000264C6"/>
    <w:rsid w:val="00027F90"/>
    <w:rsid w:val="00034632"/>
    <w:rsid w:val="0003611F"/>
    <w:rsid w:val="0004002B"/>
    <w:rsid w:val="0004087F"/>
    <w:rsid w:val="000469D1"/>
    <w:rsid w:val="000553E3"/>
    <w:rsid w:val="00060E16"/>
    <w:rsid w:val="000661AC"/>
    <w:rsid w:val="00067618"/>
    <w:rsid w:val="00075CCC"/>
    <w:rsid w:val="00083E90"/>
    <w:rsid w:val="0009084B"/>
    <w:rsid w:val="00091E29"/>
    <w:rsid w:val="00094DD4"/>
    <w:rsid w:val="00095568"/>
    <w:rsid w:val="000A06A3"/>
    <w:rsid w:val="000A5020"/>
    <w:rsid w:val="000B145B"/>
    <w:rsid w:val="000C0215"/>
    <w:rsid w:val="000C0325"/>
    <w:rsid w:val="000C42EF"/>
    <w:rsid w:val="000C4EE6"/>
    <w:rsid w:val="000C7D45"/>
    <w:rsid w:val="000D1AAB"/>
    <w:rsid w:val="000D59EE"/>
    <w:rsid w:val="000E4B65"/>
    <w:rsid w:val="000F6C16"/>
    <w:rsid w:val="000F72AA"/>
    <w:rsid w:val="000F72B3"/>
    <w:rsid w:val="00102C05"/>
    <w:rsid w:val="00104045"/>
    <w:rsid w:val="00107AAF"/>
    <w:rsid w:val="00112731"/>
    <w:rsid w:val="00113C7F"/>
    <w:rsid w:val="001149E6"/>
    <w:rsid w:val="00115142"/>
    <w:rsid w:val="001158FD"/>
    <w:rsid w:val="00115CE9"/>
    <w:rsid w:val="00116CFB"/>
    <w:rsid w:val="00120967"/>
    <w:rsid w:val="00131640"/>
    <w:rsid w:val="00150033"/>
    <w:rsid w:val="00152BA3"/>
    <w:rsid w:val="00152D21"/>
    <w:rsid w:val="001530E6"/>
    <w:rsid w:val="00162E16"/>
    <w:rsid w:val="001707CC"/>
    <w:rsid w:val="0017097D"/>
    <w:rsid w:val="00170B4C"/>
    <w:rsid w:val="00174064"/>
    <w:rsid w:val="00175FB8"/>
    <w:rsid w:val="00180CD4"/>
    <w:rsid w:val="00187FA2"/>
    <w:rsid w:val="00194FE6"/>
    <w:rsid w:val="0019736C"/>
    <w:rsid w:val="001A466A"/>
    <w:rsid w:val="001A4832"/>
    <w:rsid w:val="001B10FF"/>
    <w:rsid w:val="001B3D02"/>
    <w:rsid w:val="001B4445"/>
    <w:rsid w:val="001D12CC"/>
    <w:rsid w:val="001E05DB"/>
    <w:rsid w:val="001E0EFF"/>
    <w:rsid w:val="001E5D3A"/>
    <w:rsid w:val="001F3AF2"/>
    <w:rsid w:val="0020465C"/>
    <w:rsid w:val="00205EDD"/>
    <w:rsid w:val="00211F85"/>
    <w:rsid w:val="002121D7"/>
    <w:rsid w:val="002171CA"/>
    <w:rsid w:val="002304F1"/>
    <w:rsid w:val="00233F39"/>
    <w:rsid w:val="00246B01"/>
    <w:rsid w:val="00251B4E"/>
    <w:rsid w:val="00283969"/>
    <w:rsid w:val="00293A7E"/>
    <w:rsid w:val="002B0087"/>
    <w:rsid w:val="002B48C3"/>
    <w:rsid w:val="002C7351"/>
    <w:rsid w:val="002D1511"/>
    <w:rsid w:val="002D6FA5"/>
    <w:rsid w:val="002D7628"/>
    <w:rsid w:val="002E0F78"/>
    <w:rsid w:val="002E4981"/>
    <w:rsid w:val="002E693E"/>
    <w:rsid w:val="002E74A4"/>
    <w:rsid w:val="002F013C"/>
    <w:rsid w:val="002F3D81"/>
    <w:rsid w:val="002F42E0"/>
    <w:rsid w:val="003008CC"/>
    <w:rsid w:val="00307163"/>
    <w:rsid w:val="00310D10"/>
    <w:rsid w:val="003141FB"/>
    <w:rsid w:val="00316736"/>
    <w:rsid w:val="00323706"/>
    <w:rsid w:val="00324427"/>
    <w:rsid w:val="00326036"/>
    <w:rsid w:val="00331D2F"/>
    <w:rsid w:val="003362F7"/>
    <w:rsid w:val="00345673"/>
    <w:rsid w:val="00346EAF"/>
    <w:rsid w:val="00350A1E"/>
    <w:rsid w:val="00364E00"/>
    <w:rsid w:val="0036720A"/>
    <w:rsid w:val="003703BB"/>
    <w:rsid w:val="00371E6F"/>
    <w:rsid w:val="00373CF5"/>
    <w:rsid w:val="003760A3"/>
    <w:rsid w:val="00385707"/>
    <w:rsid w:val="0038571F"/>
    <w:rsid w:val="0038686C"/>
    <w:rsid w:val="00392123"/>
    <w:rsid w:val="00392F8C"/>
    <w:rsid w:val="00396036"/>
    <w:rsid w:val="003A4891"/>
    <w:rsid w:val="003B0E83"/>
    <w:rsid w:val="003B359E"/>
    <w:rsid w:val="003B7D7A"/>
    <w:rsid w:val="003C1192"/>
    <w:rsid w:val="003C194A"/>
    <w:rsid w:val="003C317E"/>
    <w:rsid w:val="003C5BAA"/>
    <w:rsid w:val="003C6BA6"/>
    <w:rsid w:val="003C6D5A"/>
    <w:rsid w:val="003D161B"/>
    <w:rsid w:val="003D3240"/>
    <w:rsid w:val="003D6AC5"/>
    <w:rsid w:val="003E1AD2"/>
    <w:rsid w:val="003E3711"/>
    <w:rsid w:val="003E4445"/>
    <w:rsid w:val="003F08D9"/>
    <w:rsid w:val="003F37A5"/>
    <w:rsid w:val="003F4892"/>
    <w:rsid w:val="003F6E6C"/>
    <w:rsid w:val="004057FE"/>
    <w:rsid w:val="00406F90"/>
    <w:rsid w:val="004077CA"/>
    <w:rsid w:val="00407D8B"/>
    <w:rsid w:val="00411B4D"/>
    <w:rsid w:val="0042196A"/>
    <w:rsid w:val="004231BB"/>
    <w:rsid w:val="00424266"/>
    <w:rsid w:val="004256DF"/>
    <w:rsid w:val="0042616D"/>
    <w:rsid w:val="0043575B"/>
    <w:rsid w:val="00437FF5"/>
    <w:rsid w:val="004413D0"/>
    <w:rsid w:val="00441B84"/>
    <w:rsid w:val="004451F8"/>
    <w:rsid w:val="004543D3"/>
    <w:rsid w:val="004622C3"/>
    <w:rsid w:val="004677B8"/>
    <w:rsid w:val="00474871"/>
    <w:rsid w:val="0047647F"/>
    <w:rsid w:val="004776B5"/>
    <w:rsid w:val="0048304F"/>
    <w:rsid w:val="00491922"/>
    <w:rsid w:val="0049327C"/>
    <w:rsid w:val="004945FF"/>
    <w:rsid w:val="00494752"/>
    <w:rsid w:val="00494B7A"/>
    <w:rsid w:val="004A09CA"/>
    <w:rsid w:val="004A57F7"/>
    <w:rsid w:val="004A61A0"/>
    <w:rsid w:val="004B09F9"/>
    <w:rsid w:val="004B2B48"/>
    <w:rsid w:val="004C29AB"/>
    <w:rsid w:val="004D009D"/>
    <w:rsid w:val="004D443C"/>
    <w:rsid w:val="004D4483"/>
    <w:rsid w:val="004E1A67"/>
    <w:rsid w:val="004E23A5"/>
    <w:rsid w:val="004F28E0"/>
    <w:rsid w:val="004F46F1"/>
    <w:rsid w:val="004F715C"/>
    <w:rsid w:val="005040E0"/>
    <w:rsid w:val="005043FA"/>
    <w:rsid w:val="005131D2"/>
    <w:rsid w:val="0051356F"/>
    <w:rsid w:val="0051771A"/>
    <w:rsid w:val="00521E9F"/>
    <w:rsid w:val="005230F0"/>
    <w:rsid w:val="005267C6"/>
    <w:rsid w:val="005270E7"/>
    <w:rsid w:val="0053237B"/>
    <w:rsid w:val="00534EAD"/>
    <w:rsid w:val="0053730F"/>
    <w:rsid w:val="0054167C"/>
    <w:rsid w:val="00547E87"/>
    <w:rsid w:val="00550F25"/>
    <w:rsid w:val="005530B7"/>
    <w:rsid w:val="00556633"/>
    <w:rsid w:val="005676AE"/>
    <w:rsid w:val="00574DFC"/>
    <w:rsid w:val="00575116"/>
    <w:rsid w:val="00582610"/>
    <w:rsid w:val="00586AC0"/>
    <w:rsid w:val="00597911"/>
    <w:rsid w:val="005A5EFD"/>
    <w:rsid w:val="005A6E89"/>
    <w:rsid w:val="005B0F25"/>
    <w:rsid w:val="005B3EE7"/>
    <w:rsid w:val="005B47CB"/>
    <w:rsid w:val="005B5396"/>
    <w:rsid w:val="005B5B01"/>
    <w:rsid w:val="005B5D46"/>
    <w:rsid w:val="005C4E2C"/>
    <w:rsid w:val="005C6CFC"/>
    <w:rsid w:val="005D481C"/>
    <w:rsid w:val="005D7A47"/>
    <w:rsid w:val="005E11CE"/>
    <w:rsid w:val="005E48DC"/>
    <w:rsid w:val="005E78C8"/>
    <w:rsid w:val="005F5760"/>
    <w:rsid w:val="005F7396"/>
    <w:rsid w:val="0060601B"/>
    <w:rsid w:val="00606892"/>
    <w:rsid w:val="00613B60"/>
    <w:rsid w:val="006148E5"/>
    <w:rsid w:val="006168BE"/>
    <w:rsid w:val="0062088D"/>
    <w:rsid w:val="00621672"/>
    <w:rsid w:val="00622505"/>
    <w:rsid w:val="006255BB"/>
    <w:rsid w:val="00626722"/>
    <w:rsid w:val="00637A32"/>
    <w:rsid w:val="00637F65"/>
    <w:rsid w:val="006405F0"/>
    <w:rsid w:val="006516C3"/>
    <w:rsid w:val="00652845"/>
    <w:rsid w:val="006537CF"/>
    <w:rsid w:val="006558FA"/>
    <w:rsid w:val="0065681E"/>
    <w:rsid w:val="006572AA"/>
    <w:rsid w:val="00661FA4"/>
    <w:rsid w:val="00663CCB"/>
    <w:rsid w:val="006823AC"/>
    <w:rsid w:val="006833F4"/>
    <w:rsid w:val="006857F1"/>
    <w:rsid w:val="00687B8B"/>
    <w:rsid w:val="00690287"/>
    <w:rsid w:val="006B04E0"/>
    <w:rsid w:val="006B4861"/>
    <w:rsid w:val="006B5311"/>
    <w:rsid w:val="006B7D24"/>
    <w:rsid w:val="006C11B3"/>
    <w:rsid w:val="006D4BFC"/>
    <w:rsid w:val="006D5D08"/>
    <w:rsid w:val="006D6000"/>
    <w:rsid w:val="006E2B65"/>
    <w:rsid w:val="006E5553"/>
    <w:rsid w:val="006F0BDA"/>
    <w:rsid w:val="006F21B5"/>
    <w:rsid w:val="006F2FCB"/>
    <w:rsid w:val="0070302D"/>
    <w:rsid w:val="00705D6C"/>
    <w:rsid w:val="00711EF8"/>
    <w:rsid w:val="00720B44"/>
    <w:rsid w:val="00721BF1"/>
    <w:rsid w:val="00722EBE"/>
    <w:rsid w:val="007237C0"/>
    <w:rsid w:val="007449ED"/>
    <w:rsid w:val="0074585B"/>
    <w:rsid w:val="007511C4"/>
    <w:rsid w:val="0075455D"/>
    <w:rsid w:val="00756534"/>
    <w:rsid w:val="00757C6C"/>
    <w:rsid w:val="00763D90"/>
    <w:rsid w:val="00763FAF"/>
    <w:rsid w:val="00764447"/>
    <w:rsid w:val="00764495"/>
    <w:rsid w:val="00770190"/>
    <w:rsid w:val="007701FD"/>
    <w:rsid w:val="00773900"/>
    <w:rsid w:val="00781CD5"/>
    <w:rsid w:val="00785549"/>
    <w:rsid w:val="007958ED"/>
    <w:rsid w:val="007964EC"/>
    <w:rsid w:val="00796DA7"/>
    <w:rsid w:val="007A0175"/>
    <w:rsid w:val="007A4E9E"/>
    <w:rsid w:val="007B1DD5"/>
    <w:rsid w:val="007B220E"/>
    <w:rsid w:val="007B2559"/>
    <w:rsid w:val="007C44AE"/>
    <w:rsid w:val="007C5821"/>
    <w:rsid w:val="007C7FD1"/>
    <w:rsid w:val="007D0CAA"/>
    <w:rsid w:val="007D496F"/>
    <w:rsid w:val="007D6DA9"/>
    <w:rsid w:val="007E6697"/>
    <w:rsid w:val="007E66FA"/>
    <w:rsid w:val="007F312F"/>
    <w:rsid w:val="007F342B"/>
    <w:rsid w:val="007F37A8"/>
    <w:rsid w:val="007F4C3D"/>
    <w:rsid w:val="008025DB"/>
    <w:rsid w:val="00803019"/>
    <w:rsid w:val="00804EC8"/>
    <w:rsid w:val="00806BCC"/>
    <w:rsid w:val="00807ED8"/>
    <w:rsid w:val="00814539"/>
    <w:rsid w:val="00815D4B"/>
    <w:rsid w:val="008249D4"/>
    <w:rsid w:val="00824C99"/>
    <w:rsid w:val="0083459B"/>
    <w:rsid w:val="00834C41"/>
    <w:rsid w:val="00842EF5"/>
    <w:rsid w:val="0084362F"/>
    <w:rsid w:val="00846DE3"/>
    <w:rsid w:val="008568B5"/>
    <w:rsid w:val="00873DFF"/>
    <w:rsid w:val="00884189"/>
    <w:rsid w:val="00891010"/>
    <w:rsid w:val="008918EF"/>
    <w:rsid w:val="008935A1"/>
    <w:rsid w:val="00897DBA"/>
    <w:rsid w:val="008A2C4D"/>
    <w:rsid w:val="008B0A1E"/>
    <w:rsid w:val="008B3E96"/>
    <w:rsid w:val="008B760C"/>
    <w:rsid w:val="008B7F32"/>
    <w:rsid w:val="008C0FE4"/>
    <w:rsid w:val="008C7DA1"/>
    <w:rsid w:val="008D01CA"/>
    <w:rsid w:val="008E48CE"/>
    <w:rsid w:val="008E696B"/>
    <w:rsid w:val="008E7E56"/>
    <w:rsid w:val="008F1128"/>
    <w:rsid w:val="008F2448"/>
    <w:rsid w:val="008F27DF"/>
    <w:rsid w:val="008F307A"/>
    <w:rsid w:val="009049C3"/>
    <w:rsid w:val="00905432"/>
    <w:rsid w:val="00906120"/>
    <w:rsid w:val="0091253E"/>
    <w:rsid w:val="009216FF"/>
    <w:rsid w:val="0092246E"/>
    <w:rsid w:val="00925727"/>
    <w:rsid w:val="00926460"/>
    <w:rsid w:val="00926DA5"/>
    <w:rsid w:val="00931169"/>
    <w:rsid w:val="00933B7D"/>
    <w:rsid w:val="009349BE"/>
    <w:rsid w:val="00940728"/>
    <w:rsid w:val="009420FC"/>
    <w:rsid w:val="00944291"/>
    <w:rsid w:val="009517B4"/>
    <w:rsid w:val="00952493"/>
    <w:rsid w:val="00957965"/>
    <w:rsid w:val="00957C7F"/>
    <w:rsid w:val="00960637"/>
    <w:rsid w:val="009639D8"/>
    <w:rsid w:val="009731FA"/>
    <w:rsid w:val="0097397F"/>
    <w:rsid w:val="00974947"/>
    <w:rsid w:val="00976CCE"/>
    <w:rsid w:val="00976EE1"/>
    <w:rsid w:val="00977080"/>
    <w:rsid w:val="00990089"/>
    <w:rsid w:val="00991940"/>
    <w:rsid w:val="00993F15"/>
    <w:rsid w:val="00994C94"/>
    <w:rsid w:val="0099526B"/>
    <w:rsid w:val="00996733"/>
    <w:rsid w:val="009A2E1E"/>
    <w:rsid w:val="009A6B87"/>
    <w:rsid w:val="009B0ED5"/>
    <w:rsid w:val="009B22EC"/>
    <w:rsid w:val="009B2C28"/>
    <w:rsid w:val="009B59A0"/>
    <w:rsid w:val="009C3FB1"/>
    <w:rsid w:val="009C695E"/>
    <w:rsid w:val="009C7FF9"/>
    <w:rsid w:val="009D0E70"/>
    <w:rsid w:val="009E7C8C"/>
    <w:rsid w:val="009F1447"/>
    <w:rsid w:val="009F2859"/>
    <w:rsid w:val="00A02876"/>
    <w:rsid w:val="00A053F4"/>
    <w:rsid w:val="00A05BDD"/>
    <w:rsid w:val="00A072B8"/>
    <w:rsid w:val="00A16250"/>
    <w:rsid w:val="00A2044B"/>
    <w:rsid w:val="00A22031"/>
    <w:rsid w:val="00A231EE"/>
    <w:rsid w:val="00A2331B"/>
    <w:rsid w:val="00A248AA"/>
    <w:rsid w:val="00A25CBC"/>
    <w:rsid w:val="00A3031E"/>
    <w:rsid w:val="00A34AAA"/>
    <w:rsid w:val="00A356EF"/>
    <w:rsid w:val="00A401F4"/>
    <w:rsid w:val="00A41A3C"/>
    <w:rsid w:val="00A46B5A"/>
    <w:rsid w:val="00A50249"/>
    <w:rsid w:val="00A640E0"/>
    <w:rsid w:val="00A7186E"/>
    <w:rsid w:val="00A777A3"/>
    <w:rsid w:val="00A912F1"/>
    <w:rsid w:val="00A94D67"/>
    <w:rsid w:val="00A95FF7"/>
    <w:rsid w:val="00AA0C31"/>
    <w:rsid w:val="00AA23A4"/>
    <w:rsid w:val="00AB1321"/>
    <w:rsid w:val="00AB515F"/>
    <w:rsid w:val="00AC1F35"/>
    <w:rsid w:val="00AC488A"/>
    <w:rsid w:val="00AD034E"/>
    <w:rsid w:val="00AD427D"/>
    <w:rsid w:val="00AD562D"/>
    <w:rsid w:val="00AE0319"/>
    <w:rsid w:val="00AE0677"/>
    <w:rsid w:val="00AE4E32"/>
    <w:rsid w:val="00AF08F7"/>
    <w:rsid w:val="00AF0E46"/>
    <w:rsid w:val="00AF2CBD"/>
    <w:rsid w:val="00B03CE7"/>
    <w:rsid w:val="00B04413"/>
    <w:rsid w:val="00B1124E"/>
    <w:rsid w:val="00B1411F"/>
    <w:rsid w:val="00B14DCF"/>
    <w:rsid w:val="00B156EF"/>
    <w:rsid w:val="00B20394"/>
    <w:rsid w:val="00B2089C"/>
    <w:rsid w:val="00B22DCF"/>
    <w:rsid w:val="00B23FDE"/>
    <w:rsid w:val="00B26042"/>
    <w:rsid w:val="00B3238B"/>
    <w:rsid w:val="00B4116B"/>
    <w:rsid w:val="00B42769"/>
    <w:rsid w:val="00B43A75"/>
    <w:rsid w:val="00B50891"/>
    <w:rsid w:val="00B54D33"/>
    <w:rsid w:val="00B563CF"/>
    <w:rsid w:val="00B60507"/>
    <w:rsid w:val="00B64B5D"/>
    <w:rsid w:val="00B67A04"/>
    <w:rsid w:val="00B77E6F"/>
    <w:rsid w:val="00B80AF6"/>
    <w:rsid w:val="00B847B0"/>
    <w:rsid w:val="00B9164B"/>
    <w:rsid w:val="00BA7985"/>
    <w:rsid w:val="00BA7A04"/>
    <w:rsid w:val="00BA7C32"/>
    <w:rsid w:val="00BB1932"/>
    <w:rsid w:val="00BB5BE2"/>
    <w:rsid w:val="00BC26FD"/>
    <w:rsid w:val="00BC6911"/>
    <w:rsid w:val="00BD1628"/>
    <w:rsid w:val="00BD296E"/>
    <w:rsid w:val="00BD6854"/>
    <w:rsid w:val="00BD6984"/>
    <w:rsid w:val="00BE2ED1"/>
    <w:rsid w:val="00BF0159"/>
    <w:rsid w:val="00BF129E"/>
    <w:rsid w:val="00BF13E8"/>
    <w:rsid w:val="00C034C5"/>
    <w:rsid w:val="00C041A7"/>
    <w:rsid w:val="00C0429C"/>
    <w:rsid w:val="00C04E38"/>
    <w:rsid w:val="00C05A7C"/>
    <w:rsid w:val="00C070A7"/>
    <w:rsid w:val="00C10843"/>
    <w:rsid w:val="00C11C74"/>
    <w:rsid w:val="00C150DC"/>
    <w:rsid w:val="00C16048"/>
    <w:rsid w:val="00C175CF"/>
    <w:rsid w:val="00C22E54"/>
    <w:rsid w:val="00C256BD"/>
    <w:rsid w:val="00C330DC"/>
    <w:rsid w:val="00C34C41"/>
    <w:rsid w:val="00C35826"/>
    <w:rsid w:val="00C36E0F"/>
    <w:rsid w:val="00C37BD5"/>
    <w:rsid w:val="00C403F4"/>
    <w:rsid w:val="00C431F7"/>
    <w:rsid w:val="00C5493A"/>
    <w:rsid w:val="00C55509"/>
    <w:rsid w:val="00C60E69"/>
    <w:rsid w:val="00C635E2"/>
    <w:rsid w:val="00C643B4"/>
    <w:rsid w:val="00C64A78"/>
    <w:rsid w:val="00C6532F"/>
    <w:rsid w:val="00C6770B"/>
    <w:rsid w:val="00C7208F"/>
    <w:rsid w:val="00C721B5"/>
    <w:rsid w:val="00C73363"/>
    <w:rsid w:val="00C73C76"/>
    <w:rsid w:val="00C749C9"/>
    <w:rsid w:val="00C74EF3"/>
    <w:rsid w:val="00C7617A"/>
    <w:rsid w:val="00C8536D"/>
    <w:rsid w:val="00C931DB"/>
    <w:rsid w:val="00C96B9E"/>
    <w:rsid w:val="00C96BC6"/>
    <w:rsid w:val="00CA1C10"/>
    <w:rsid w:val="00CA45E5"/>
    <w:rsid w:val="00CA4FBD"/>
    <w:rsid w:val="00CA55BE"/>
    <w:rsid w:val="00CB7D21"/>
    <w:rsid w:val="00CC04A5"/>
    <w:rsid w:val="00CC3012"/>
    <w:rsid w:val="00CC3914"/>
    <w:rsid w:val="00CC4BC9"/>
    <w:rsid w:val="00CD0E96"/>
    <w:rsid w:val="00CD6DA0"/>
    <w:rsid w:val="00CE5BA1"/>
    <w:rsid w:val="00CE6009"/>
    <w:rsid w:val="00CF2B55"/>
    <w:rsid w:val="00CF3C59"/>
    <w:rsid w:val="00CF4938"/>
    <w:rsid w:val="00CF620E"/>
    <w:rsid w:val="00D152D2"/>
    <w:rsid w:val="00D15494"/>
    <w:rsid w:val="00D2193A"/>
    <w:rsid w:val="00D31A1C"/>
    <w:rsid w:val="00D3372D"/>
    <w:rsid w:val="00D353FF"/>
    <w:rsid w:val="00D45874"/>
    <w:rsid w:val="00D47F6E"/>
    <w:rsid w:val="00D50E68"/>
    <w:rsid w:val="00D515DD"/>
    <w:rsid w:val="00D54589"/>
    <w:rsid w:val="00D54A47"/>
    <w:rsid w:val="00D60B6F"/>
    <w:rsid w:val="00D61F62"/>
    <w:rsid w:val="00D65C3D"/>
    <w:rsid w:val="00D72991"/>
    <w:rsid w:val="00D72E8E"/>
    <w:rsid w:val="00D77DC6"/>
    <w:rsid w:val="00D80D72"/>
    <w:rsid w:val="00D828EF"/>
    <w:rsid w:val="00D83294"/>
    <w:rsid w:val="00D93299"/>
    <w:rsid w:val="00D94DB2"/>
    <w:rsid w:val="00D977CC"/>
    <w:rsid w:val="00DA2AE0"/>
    <w:rsid w:val="00DB2544"/>
    <w:rsid w:val="00DC341C"/>
    <w:rsid w:val="00DC612C"/>
    <w:rsid w:val="00DC6D0B"/>
    <w:rsid w:val="00DC78C5"/>
    <w:rsid w:val="00DD2788"/>
    <w:rsid w:val="00DD3958"/>
    <w:rsid w:val="00DD44ED"/>
    <w:rsid w:val="00DD5577"/>
    <w:rsid w:val="00DD70AC"/>
    <w:rsid w:val="00DE1E58"/>
    <w:rsid w:val="00E06CB7"/>
    <w:rsid w:val="00E11908"/>
    <w:rsid w:val="00E119D0"/>
    <w:rsid w:val="00E15E14"/>
    <w:rsid w:val="00E17994"/>
    <w:rsid w:val="00E17AB0"/>
    <w:rsid w:val="00E30B7E"/>
    <w:rsid w:val="00E339E0"/>
    <w:rsid w:val="00E37E85"/>
    <w:rsid w:val="00E42129"/>
    <w:rsid w:val="00E42A63"/>
    <w:rsid w:val="00E45117"/>
    <w:rsid w:val="00E461A4"/>
    <w:rsid w:val="00E4777B"/>
    <w:rsid w:val="00E572AD"/>
    <w:rsid w:val="00E753EA"/>
    <w:rsid w:val="00E82179"/>
    <w:rsid w:val="00E84FB8"/>
    <w:rsid w:val="00E91695"/>
    <w:rsid w:val="00E94DEB"/>
    <w:rsid w:val="00E9565A"/>
    <w:rsid w:val="00EA2675"/>
    <w:rsid w:val="00EA51D1"/>
    <w:rsid w:val="00EB20EB"/>
    <w:rsid w:val="00EB5DE5"/>
    <w:rsid w:val="00EC2D70"/>
    <w:rsid w:val="00EC5124"/>
    <w:rsid w:val="00EC6C66"/>
    <w:rsid w:val="00ED16D6"/>
    <w:rsid w:val="00ED51A9"/>
    <w:rsid w:val="00ED5C07"/>
    <w:rsid w:val="00EE0530"/>
    <w:rsid w:val="00EE5955"/>
    <w:rsid w:val="00EE7F88"/>
    <w:rsid w:val="00EF4C04"/>
    <w:rsid w:val="00EF4CAF"/>
    <w:rsid w:val="00EF779D"/>
    <w:rsid w:val="00EF7B9D"/>
    <w:rsid w:val="00F034CE"/>
    <w:rsid w:val="00F15BF3"/>
    <w:rsid w:val="00F16281"/>
    <w:rsid w:val="00F16F87"/>
    <w:rsid w:val="00F21103"/>
    <w:rsid w:val="00F243B4"/>
    <w:rsid w:val="00F253C9"/>
    <w:rsid w:val="00F31AAA"/>
    <w:rsid w:val="00F31E70"/>
    <w:rsid w:val="00F52926"/>
    <w:rsid w:val="00F547B0"/>
    <w:rsid w:val="00F55AF3"/>
    <w:rsid w:val="00F55E30"/>
    <w:rsid w:val="00F572CE"/>
    <w:rsid w:val="00F74875"/>
    <w:rsid w:val="00F74C2C"/>
    <w:rsid w:val="00F75563"/>
    <w:rsid w:val="00F8231F"/>
    <w:rsid w:val="00F855B8"/>
    <w:rsid w:val="00F94031"/>
    <w:rsid w:val="00F943CE"/>
    <w:rsid w:val="00F96BD0"/>
    <w:rsid w:val="00FA1979"/>
    <w:rsid w:val="00FA24EB"/>
    <w:rsid w:val="00FA63E4"/>
    <w:rsid w:val="00FB2293"/>
    <w:rsid w:val="00FB349A"/>
    <w:rsid w:val="00FB4C33"/>
    <w:rsid w:val="00FC0F40"/>
    <w:rsid w:val="00FC35F9"/>
    <w:rsid w:val="00FC4405"/>
    <w:rsid w:val="00FC495F"/>
    <w:rsid w:val="00FC5E4C"/>
    <w:rsid w:val="00FD5748"/>
    <w:rsid w:val="00FD6595"/>
    <w:rsid w:val="00FD7B73"/>
    <w:rsid w:val="00FE0908"/>
    <w:rsid w:val="00FE310D"/>
    <w:rsid w:val="00FE62BD"/>
    <w:rsid w:val="00FF31AB"/>
    <w:rsid w:val="00FF516F"/>
    <w:rsid w:val="028A5189"/>
    <w:rsid w:val="04133C72"/>
    <w:rsid w:val="057F8C0D"/>
    <w:rsid w:val="06026F05"/>
    <w:rsid w:val="084D57BA"/>
    <w:rsid w:val="08719E68"/>
    <w:rsid w:val="093011AC"/>
    <w:rsid w:val="0B1A2748"/>
    <w:rsid w:val="0B7BA097"/>
    <w:rsid w:val="0C222407"/>
    <w:rsid w:val="0C3262BF"/>
    <w:rsid w:val="0D172DFA"/>
    <w:rsid w:val="0D871122"/>
    <w:rsid w:val="0DFBFAEB"/>
    <w:rsid w:val="0FA01C7E"/>
    <w:rsid w:val="0FCC461A"/>
    <w:rsid w:val="121C5E0F"/>
    <w:rsid w:val="17471BC5"/>
    <w:rsid w:val="17495CFF"/>
    <w:rsid w:val="178137A8"/>
    <w:rsid w:val="196D26FF"/>
    <w:rsid w:val="1BD75A1C"/>
    <w:rsid w:val="1C5C8E7F"/>
    <w:rsid w:val="1EAE644C"/>
    <w:rsid w:val="1EDCA538"/>
    <w:rsid w:val="1FAE69E8"/>
    <w:rsid w:val="218E1EEE"/>
    <w:rsid w:val="2298DE34"/>
    <w:rsid w:val="239DDBFE"/>
    <w:rsid w:val="23B7045B"/>
    <w:rsid w:val="23D1009E"/>
    <w:rsid w:val="23FACC5A"/>
    <w:rsid w:val="248F73E2"/>
    <w:rsid w:val="24B4B6AF"/>
    <w:rsid w:val="256C272B"/>
    <w:rsid w:val="26C56E94"/>
    <w:rsid w:val="26DFD1C3"/>
    <w:rsid w:val="28D1A214"/>
    <w:rsid w:val="2A79B4C2"/>
    <w:rsid w:val="2A7B861E"/>
    <w:rsid w:val="2AF8F2EF"/>
    <w:rsid w:val="2B9885E7"/>
    <w:rsid w:val="2BF0B1F1"/>
    <w:rsid w:val="2C8227B3"/>
    <w:rsid w:val="2D039093"/>
    <w:rsid w:val="2D2F56AC"/>
    <w:rsid w:val="2E00AC6A"/>
    <w:rsid w:val="2EF4681F"/>
    <w:rsid w:val="2F743A0E"/>
    <w:rsid w:val="2FD45198"/>
    <w:rsid w:val="30D92729"/>
    <w:rsid w:val="311B539A"/>
    <w:rsid w:val="319307E1"/>
    <w:rsid w:val="33F7C7C7"/>
    <w:rsid w:val="3440234D"/>
    <w:rsid w:val="34C9DE5A"/>
    <w:rsid w:val="3588519E"/>
    <w:rsid w:val="364E898D"/>
    <w:rsid w:val="37F0A8EC"/>
    <w:rsid w:val="3A797DAA"/>
    <w:rsid w:val="3A9931CC"/>
    <w:rsid w:val="3D349114"/>
    <w:rsid w:val="3DF57DE3"/>
    <w:rsid w:val="3FAEA486"/>
    <w:rsid w:val="4088D13F"/>
    <w:rsid w:val="40C3D491"/>
    <w:rsid w:val="435BC689"/>
    <w:rsid w:val="43FCB0BA"/>
    <w:rsid w:val="44A78B47"/>
    <w:rsid w:val="44E88627"/>
    <w:rsid w:val="453841B1"/>
    <w:rsid w:val="4632CD36"/>
    <w:rsid w:val="46487C0F"/>
    <w:rsid w:val="466A7B08"/>
    <w:rsid w:val="46AE5FAD"/>
    <w:rsid w:val="4757CEDC"/>
    <w:rsid w:val="4ADB89CA"/>
    <w:rsid w:val="4B57C7AB"/>
    <w:rsid w:val="4DFA66D6"/>
    <w:rsid w:val="4E538DF4"/>
    <w:rsid w:val="4E6BA865"/>
    <w:rsid w:val="4F87BEE7"/>
    <w:rsid w:val="50212134"/>
    <w:rsid w:val="51DB1220"/>
    <w:rsid w:val="529197DE"/>
    <w:rsid w:val="52C65015"/>
    <w:rsid w:val="53500B22"/>
    <w:rsid w:val="5362D990"/>
    <w:rsid w:val="57E147DD"/>
    <w:rsid w:val="57FA703A"/>
    <w:rsid w:val="5850AC98"/>
    <w:rsid w:val="5A784A35"/>
    <w:rsid w:val="5B75D8FB"/>
    <w:rsid w:val="6051F4E3"/>
    <w:rsid w:val="6300BA8D"/>
    <w:rsid w:val="632BE80A"/>
    <w:rsid w:val="63BDB065"/>
    <w:rsid w:val="644C31CA"/>
    <w:rsid w:val="651F8860"/>
    <w:rsid w:val="663314A5"/>
    <w:rsid w:val="6685DB29"/>
    <w:rsid w:val="668F575E"/>
    <w:rsid w:val="689B55C8"/>
    <w:rsid w:val="6B339FF0"/>
    <w:rsid w:val="6BBD8DCE"/>
    <w:rsid w:val="6D0D76D4"/>
    <w:rsid w:val="6DA57760"/>
    <w:rsid w:val="70E68B43"/>
    <w:rsid w:val="7237EDA3"/>
    <w:rsid w:val="74C00352"/>
    <w:rsid w:val="75102BF4"/>
    <w:rsid w:val="75CEDCA1"/>
    <w:rsid w:val="77265781"/>
    <w:rsid w:val="77CDF652"/>
    <w:rsid w:val="788B07D5"/>
    <w:rsid w:val="79DBECFA"/>
    <w:rsid w:val="7A207CFD"/>
    <w:rsid w:val="7C2C7DAC"/>
    <w:rsid w:val="7DC19072"/>
    <w:rsid w:val="7DF711F7"/>
    <w:rsid w:val="7E188B86"/>
    <w:rsid w:val="7E497DE6"/>
    <w:rsid w:val="7F76F2D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38A7"/>
  <w15:chartTrackingRefBased/>
  <w15:docId w15:val="{0FE48210-9CCC-42D1-915E-CC765FA9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B9E"/>
    <w:pPr>
      <w:autoSpaceDE w:val="0"/>
      <w:autoSpaceDN w:val="0"/>
      <w:adjustRightInd w:val="0"/>
      <w:spacing w:before="240" w:after="360" w:line="240" w:lineRule="auto"/>
      <w:outlineLvl w:val="0"/>
    </w:pPr>
    <w:rPr>
      <w:rFonts w:cstheme="minorHAnsi"/>
      <w:b/>
      <w:bCs/>
      <w:color w:val="007681"/>
      <w:sz w:val="48"/>
      <w:szCs w:val="48"/>
    </w:rPr>
  </w:style>
  <w:style w:type="paragraph" w:styleId="Heading2">
    <w:name w:val="heading 2"/>
    <w:basedOn w:val="Normal"/>
    <w:next w:val="Normal"/>
    <w:link w:val="Heading2Char"/>
    <w:uiPriority w:val="9"/>
    <w:unhideWhenUsed/>
    <w:qFormat/>
    <w:rsid w:val="00C96B9E"/>
    <w:pPr>
      <w:autoSpaceDE w:val="0"/>
      <w:autoSpaceDN w:val="0"/>
      <w:adjustRightInd w:val="0"/>
      <w:spacing w:before="240" w:after="120" w:line="240" w:lineRule="auto"/>
      <w:outlineLvl w:val="1"/>
    </w:pPr>
    <w:rPr>
      <w:rFonts w:cstheme="minorHAnsi"/>
      <w:b/>
      <w:bCs/>
      <w:color w:val="1C2549"/>
      <w:sz w:val="36"/>
      <w:szCs w:val="36"/>
    </w:rPr>
  </w:style>
  <w:style w:type="paragraph" w:styleId="Heading3">
    <w:name w:val="heading 3"/>
    <w:basedOn w:val="Normal"/>
    <w:next w:val="Normal"/>
    <w:link w:val="Heading3Char"/>
    <w:uiPriority w:val="9"/>
    <w:unhideWhenUsed/>
    <w:qFormat/>
    <w:rsid w:val="0038571F"/>
    <w:pPr>
      <w:autoSpaceDE w:val="0"/>
      <w:autoSpaceDN w:val="0"/>
      <w:adjustRightInd w:val="0"/>
      <w:spacing w:before="40" w:after="80" w:line="240" w:lineRule="auto"/>
      <w:outlineLvl w:val="2"/>
    </w:pPr>
    <w:rPr>
      <w:rFonts w:cstheme="minorHAns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2B"/>
    <w:pPr>
      <w:ind w:left="720"/>
      <w:contextualSpacing/>
    </w:pPr>
  </w:style>
  <w:style w:type="character" w:styleId="Hyperlink">
    <w:name w:val="Hyperlink"/>
    <w:basedOn w:val="DefaultParagraphFont"/>
    <w:uiPriority w:val="99"/>
    <w:unhideWhenUsed/>
    <w:rsid w:val="003E3711"/>
    <w:rPr>
      <w:color w:val="0563C1" w:themeColor="hyperlink"/>
      <w:u w:val="single"/>
    </w:rPr>
  </w:style>
  <w:style w:type="character" w:styleId="UnresolvedMention">
    <w:name w:val="Unresolved Mention"/>
    <w:basedOn w:val="DefaultParagraphFont"/>
    <w:uiPriority w:val="99"/>
    <w:semiHidden/>
    <w:unhideWhenUsed/>
    <w:rsid w:val="003E3711"/>
    <w:rPr>
      <w:color w:val="605E5C"/>
      <w:shd w:val="clear" w:color="auto" w:fill="E1DFDD"/>
    </w:rPr>
  </w:style>
  <w:style w:type="paragraph" w:customStyle="1" w:styleId="Default">
    <w:name w:val="Default"/>
    <w:rsid w:val="00D77D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F37A8"/>
    <w:rPr>
      <w:sz w:val="16"/>
      <w:szCs w:val="16"/>
    </w:rPr>
  </w:style>
  <w:style w:type="paragraph" w:styleId="CommentText">
    <w:name w:val="annotation text"/>
    <w:basedOn w:val="Normal"/>
    <w:link w:val="CommentTextChar"/>
    <w:uiPriority w:val="99"/>
    <w:unhideWhenUsed/>
    <w:rsid w:val="007F37A8"/>
    <w:pPr>
      <w:spacing w:line="240" w:lineRule="auto"/>
    </w:pPr>
    <w:rPr>
      <w:sz w:val="20"/>
      <w:szCs w:val="20"/>
    </w:rPr>
  </w:style>
  <w:style w:type="character" w:customStyle="1" w:styleId="CommentTextChar">
    <w:name w:val="Comment Text Char"/>
    <w:basedOn w:val="DefaultParagraphFont"/>
    <w:link w:val="CommentText"/>
    <w:uiPriority w:val="99"/>
    <w:rsid w:val="007F37A8"/>
    <w:rPr>
      <w:sz w:val="20"/>
      <w:szCs w:val="20"/>
    </w:rPr>
  </w:style>
  <w:style w:type="paragraph" w:styleId="CommentSubject">
    <w:name w:val="annotation subject"/>
    <w:basedOn w:val="CommentText"/>
    <w:next w:val="CommentText"/>
    <w:link w:val="CommentSubjectChar"/>
    <w:uiPriority w:val="99"/>
    <w:semiHidden/>
    <w:unhideWhenUsed/>
    <w:rsid w:val="007F37A8"/>
    <w:rPr>
      <w:b/>
      <w:bCs/>
    </w:rPr>
  </w:style>
  <w:style w:type="character" w:customStyle="1" w:styleId="CommentSubjectChar">
    <w:name w:val="Comment Subject Char"/>
    <w:basedOn w:val="CommentTextChar"/>
    <w:link w:val="CommentSubject"/>
    <w:uiPriority w:val="99"/>
    <w:semiHidden/>
    <w:rsid w:val="007F37A8"/>
    <w:rPr>
      <w:b/>
      <w:bCs/>
      <w:sz w:val="20"/>
      <w:szCs w:val="20"/>
    </w:rPr>
  </w:style>
  <w:style w:type="paragraph" w:styleId="Header">
    <w:name w:val="header"/>
    <w:basedOn w:val="Normal"/>
    <w:link w:val="HeaderChar"/>
    <w:uiPriority w:val="99"/>
    <w:unhideWhenUsed/>
    <w:rsid w:val="00517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71A"/>
  </w:style>
  <w:style w:type="paragraph" w:styleId="Footer">
    <w:name w:val="footer"/>
    <w:basedOn w:val="Normal"/>
    <w:link w:val="FooterChar"/>
    <w:uiPriority w:val="99"/>
    <w:unhideWhenUsed/>
    <w:rsid w:val="00517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71A"/>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A23A4"/>
    <w:rPr>
      <w:color w:val="954F72" w:themeColor="followedHyperlink"/>
      <w:u w:val="single"/>
    </w:rPr>
  </w:style>
  <w:style w:type="paragraph" w:styleId="NormalWeb">
    <w:name w:val="Normal (Web)"/>
    <w:basedOn w:val="Normal"/>
    <w:uiPriority w:val="99"/>
    <w:semiHidden/>
    <w:unhideWhenUsed/>
    <w:rsid w:val="00A220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22031"/>
    <w:rPr>
      <w:b/>
      <w:bCs/>
    </w:rPr>
  </w:style>
  <w:style w:type="character" w:customStyle="1" w:styleId="Heading1Char">
    <w:name w:val="Heading 1 Char"/>
    <w:basedOn w:val="DefaultParagraphFont"/>
    <w:link w:val="Heading1"/>
    <w:uiPriority w:val="9"/>
    <w:rsid w:val="00C96B9E"/>
    <w:rPr>
      <w:rFonts w:cstheme="minorHAnsi"/>
      <w:b/>
      <w:bCs/>
      <w:color w:val="007681"/>
      <w:sz w:val="48"/>
      <w:szCs w:val="48"/>
    </w:rPr>
  </w:style>
  <w:style w:type="character" w:customStyle="1" w:styleId="Heading2Char">
    <w:name w:val="Heading 2 Char"/>
    <w:basedOn w:val="DefaultParagraphFont"/>
    <w:link w:val="Heading2"/>
    <w:uiPriority w:val="9"/>
    <w:rsid w:val="00C96B9E"/>
    <w:rPr>
      <w:rFonts w:cstheme="minorHAnsi"/>
      <w:b/>
      <w:bCs/>
      <w:color w:val="1C2549"/>
      <w:sz w:val="36"/>
      <w:szCs w:val="36"/>
    </w:rPr>
  </w:style>
  <w:style w:type="table" w:styleId="TableGrid">
    <w:name w:val="Table Grid"/>
    <w:basedOn w:val="TableNormal"/>
    <w:uiPriority w:val="39"/>
    <w:rsid w:val="0015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571F"/>
    <w:rPr>
      <w:rFonts w:cstheme="minorHAnsi"/>
      <w:b/>
      <w:bCs/>
      <w:color w:val="000000" w:themeColor="text1"/>
      <w:sz w:val="26"/>
      <w:szCs w:val="26"/>
    </w:rPr>
  </w:style>
  <w:style w:type="paragraph" w:styleId="Revision">
    <w:name w:val="Revision"/>
    <w:hidden/>
    <w:uiPriority w:val="99"/>
    <w:semiHidden/>
    <w:rsid w:val="0038571F"/>
    <w:pPr>
      <w:spacing w:after="0" w:line="240" w:lineRule="auto"/>
    </w:pPr>
  </w:style>
  <w:style w:type="paragraph" w:styleId="BodyText">
    <w:name w:val="Body Text"/>
    <w:basedOn w:val="Normal"/>
    <w:link w:val="BodyTextChar"/>
    <w:unhideWhenUsed/>
    <w:qFormat/>
    <w:rsid w:val="00E461A4"/>
    <w:pPr>
      <w:spacing w:before="120" w:after="120" w:line="288" w:lineRule="auto"/>
    </w:pPr>
    <w:rPr>
      <w:rFonts w:ascii="Georgia" w:hAnsi="Georgia"/>
      <w:sz w:val="20"/>
      <w:szCs w:val="20"/>
      <w:lang w:val="en-GB"/>
    </w:rPr>
  </w:style>
  <w:style w:type="character" w:customStyle="1" w:styleId="BodyTextChar">
    <w:name w:val="Body Text Char"/>
    <w:basedOn w:val="DefaultParagraphFont"/>
    <w:link w:val="BodyText"/>
    <w:rsid w:val="00E461A4"/>
    <w:rPr>
      <w:rFonts w:ascii="Georgia" w:hAnsi="Georgia"/>
      <w:sz w:val="20"/>
      <w:szCs w:val="20"/>
      <w:lang w:val="en-GB"/>
    </w:rPr>
  </w:style>
  <w:style w:type="character" w:customStyle="1" w:styleId="normaltextrun">
    <w:name w:val="normaltextrun"/>
    <w:basedOn w:val="DefaultParagraphFont"/>
    <w:rsid w:val="00346EAF"/>
  </w:style>
  <w:style w:type="character" w:customStyle="1" w:styleId="eop">
    <w:name w:val="eop"/>
    <w:basedOn w:val="DefaultParagraphFont"/>
    <w:rsid w:val="00346EAF"/>
  </w:style>
  <w:style w:type="paragraph" w:customStyle="1" w:styleId="paragraph">
    <w:name w:val="paragraph"/>
    <w:basedOn w:val="Normal"/>
    <w:rsid w:val="004F715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170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7CC"/>
    <w:rPr>
      <w:sz w:val="20"/>
      <w:szCs w:val="20"/>
    </w:rPr>
  </w:style>
  <w:style w:type="character" w:styleId="FootnoteReference">
    <w:name w:val="footnote reference"/>
    <w:basedOn w:val="DefaultParagraphFont"/>
    <w:uiPriority w:val="99"/>
    <w:semiHidden/>
    <w:unhideWhenUsed/>
    <w:rsid w:val="001707CC"/>
    <w:rPr>
      <w:vertAlign w:val="superscript"/>
    </w:rPr>
  </w:style>
  <w:style w:type="character" w:customStyle="1" w:styleId="ui-provider">
    <w:name w:val="ui-provider"/>
    <w:basedOn w:val="DefaultParagraphFont"/>
    <w:rsid w:val="00075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778">
      <w:bodyDiv w:val="1"/>
      <w:marLeft w:val="0"/>
      <w:marRight w:val="0"/>
      <w:marTop w:val="0"/>
      <w:marBottom w:val="0"/>
      <w:divBdr>
        <w:top w:val="none" w:sz="0" w:space="0" w:color="auto"/>
        <w:left w:val="none" w:sz="0" w:space="0" w:color="auto"/>
        <w:bottom w:val="none" w:sz="0" w:space="0" w:color="auto"/>
        <w:right w:val="none" w:sz="0" w:space="0" w:color="auto"/>
      </w:divBdr>
      <w:divsChild>
        <w:div w:id="80416053">
          <w:marLeft w:val="0"/>
          <w:marRight w:val="0"/>
          <w:marTop w:val="0"/>
          <w:marBottom w:val="0"/>
          <w:divBdr>
            <w:top w:val="none" w:sz="0" w:space="0" w:color="auto"/>
            <w:left w:val="none" w:sz="0" w:space="0" w:color="auto"/>
            <w:bottom w:val="none" w:sz="0" w:space="0" w:color="auto"/>
            <w:right w:val="none" w:sz="0" w:space="0" w:color="auto"/>
          </w:divBdr>
        </w:div>
        <w:div w:id="752431224">
          <w:marLeft w:val="0"/>
          <w:marRight w:val="0"/>
          <w:marTop w:val="0"/>
          <w:marBottom w:val="0"/>
          <w:divBdr>
            <w:top w:val="none" w:sz="0" w:space="0" w:color="auto"/>
            <w:left w:val="none" w:sz="0" w:space="0" w:color="auto"/>
            <w:bottom w:val="none" w:sz="0" w:space="0" w:color="auto"/>
            <w:right w:val="none" w:sz="0" w:space="0" w:color="auto"/>
          </w:divBdr>
        </w:div>
        <w:div w:id="933591963">
          <w:marLeft w:val="0"/>
          <w:marRight w:val="0"/>
          <w:marTop w:val="0"/>
          <w:marBottom w:val="0"/>
          <w:divBdr>
            <w:top w:val="none" w:sz="0" w:space="0" w:color="auto"/>
            <w:left w:val="none" w:sz="0" w:space="0" w:color="auto"/>
            <w:bottom w:val="none" w:sz="0" w:space="0" w:color="auto"/>
            <w:right w:val="none" w:sz="0" w:space="0" w:color="auto"/>
          </w:divBdr>
        </w:div>
        <w:div w:id="1261448709">
          <w:marLeft w:val="0"/>
          <w:marRight w:val="0"/>
          <w:marTop w:val="0"/>
          <w:marBottom w:val="0"/>
          <w:divBdr>
            <w:top w:val="none" w:sz="0" w:space="0" w:color="auto"/>
            <w:left w:val="none" w:sz="0" w:space="0" w:color="auto"/>
            <w:bottom w:val="none" w:sz="0" w:space="0" w:color="auto"/>
            <w:right w:val="none" w:sz="0" w:space="0" w:color="auto"/>
          </w:divBdr>
        </w:div>
        <w:div w:id="1267663433">
          <w:marLeft w:val="0"/>
          <w:marRight w:val="0"/>
          <w:marTop w:val="0"/>
          <w:marBottom w:val="0"/>
          <w:divBdr>
            <w:top w:val="none" w:sz="0" w:space="0" w:color="auto"/>
            <w:left w:val="none" w:sz="0" w:space="0" w:color="auto"/>
            <w:bottom w:val="none" w:sz="0" w:space="0" w:color="auto"/>
            <w:right w:val="none" w:sz="0" w:space="0" w:color="auto"/>
          </w:divBdr>
        </w:div>
        <w:div w:id="1579749471">
          <w:marLeft w:val="0"/>
          <w:marRight w:val="0"/>
          <w:marTop w:val="0"/>
          <w:marBottom w:val="0"/>
          <w:divBdr>
            <w:top w:val="none" w:sz="0" w:space="0" w:color="auto"/>
            <w:left w:val="none" w:sz="0" w:space="0" w:color="auto"/>
            <w:bottom w:val="none" w:sz="0" w:space="0" w:color="auto"/>
            <w:right w:val="none" w:sz="0" w:space="0" w:color="auto"/>
          </w:divBdr>
        </w:div>
        <w:div w:id="1727297677">
          <w:marLeft w:val="0"/>
          <w:marRight w:val="0"/>
          <w:marTop w:val="0"/>
          <w:marBottom w:val="0"/>
          <w:divBdr>
            <w:top w:val="none" w:sz="0" w:space="0" w:color="auto"/>
            <w:left w:val="none" w:sz="0" w:space="0" w:color="auto"/>
            <w:bottom w:val="none" w:sz="0" w:space="0" w:color="auto"/>
            <w:right w:val="none" w:sz="0" w:space="0" w:color="auto"/>
          </w:divBdr>
        </w:div>
        <w:div w:id="1943799698">
          <w:marLeft w:val="0"/>
          <w:marRight w:val="0"/>
          <w:marTop w:val="0"/>
          <w:marBottom w:val="0"/>
          <w:divBdr>
            <w:top w:val="none" w:sz="0" w:space="0" w:color="auto"/>
            <w:left w:val="none" w:sz="0" w:space="0" w:color="auto"/>
            <w:bottom w:val="none" w:sz="0" w:space="0" w:color="auto"/>
            <w:right w:val="none" w:sz="0" w:space="0" w:color="auto"/>
          </w:divBdr>
        </w:div>
      </w:divsChild>
    </w:div>
    <w:div w:id="886338248">
      <w:bodyDiv w:val="1"/>
      <w:marLeft w:val="0"/>
      <w:marRight w:val="0"/>
      <w:marTop w:val="0"/>
      <w:marBottom w:val="0"/>
      <w:divBdr>
        <w:top w:val="none" w:sz="0" w:space="0" w:color="auto"/>
        <w:left w:val="none" w:sz="0" w:space="0" w:color="auto"/>
        <w:bottom w:val="none" w:sz="0" w:space="0" w:color="auto"/>
        <w:right w:val="none" w:sz="0" w:space="0" w:color="auto"/>
      </w:divBdr>
    </w:div>
    <w:div w:id="1034770922">
      <w:bodyDiv w:val="1"/>
      <w:marLeft w:val="0"/>
      <w:marRight w:val="0"/>
      <w:marTop w:val="0"/>
      <w:marBottom w:val="0"/>
      <w:divBdr>
        <w:top w:val="none" w:sz="0" w:space="0" w:color="auto"/>
        <w:left w:val="none" w:sz="0" w:space="0" w:color="auto"/>
        <w:bottom w:val="none" w:sz="0" w:space="0" w:color="auto"/>
        <w:right w:val="none" w:sz="0" w:space="0" w:color="auto"/>
      </w:divBdr>
      <w:divsChild>
        <w:div w:id="1064648138">
          <w:marLeft w:val="0"/>
          <w:marRight w:val="0"/>
          <w:marTop w:val="0"/>
          <w:marBottom w:val="0"/>
          <w:divBdr>
            <w:top w:val="none" w:sz="0" w:space="0" w:color="auto"/>
            <w:left w:val="none" w:sz="0" w:space="0" w:color="auto"/>
            <w:bottom w:val="none" w:sz="0" w:space="0" w:color="auto"/>
            <w:right w:val="none" w:sz="0" w:space="0" w:color="auto"/>
          </w:divBdr>
          <w:divsChild>
            <w:div w:id="12610202">
              <w:marLeft w:val="0"/>
              <w:marRight w:val="0"/>
              <w:marTop w:val="0"/>
              <w:marBottom w:val="0"/>
              <w:divBdr>
                <w:top w:val="none" w:sz="0" w:space="0" w:color="auto"/>
                <w:left w:val="none" w:sz="0" w:space="0" w:color="auto"/>
                <w:bottom w:val="none" w:sz="0" w:space="0" w:color="auto"/>
                <w:right w:val="none" w:sz="0" w:space="0" w:color="auto"/>
              </w:divBdr>
            </w:div>
          </w:divsChild>
        </w:div>
        <w:div w:id="1515221667">
          <w:marLeft w:val="0"/>
          <w:marRight w:val="0"/>
          <w:marTop w:val="0"/>
          <w:marBottom w:val="0"/>
          <w:divBdr>
            <w:top w:val="none" w:sz="0" w:space="0" w:color="auto"/>
            <w:left w:val="none" w:sz="0" w:space="0" w:color="auto"/>
            <w:bottom w:val="none" w:sz="0" w:space="0" w:color="auto"/>
            <w:right w:val="none" w:sz="0" w:space="0" w:color="auto"/>
          </w:divBdr>
          <w:divsChild>
            <w:div w:id="2631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8381">
      <w:bodyDiv w:val="1"/>
      <w:marLeft w:val="0"/>
      <w:marRight w:val="0"/>
      <w:marTop w:val="0"/>
      <w:marBottom w:val="0"/>
      <w:divBdr>
        <w:top w:val="none" w:sz="0" w:space="0" w:color="auto"/>
        <w:left w:val="none" w:sz="0" w:space="0" w:color="auto"/>
        <w:bottom w:val="none" w:sz="0" w:space="0" w:color="auto"/>
        <w:right w:val="none" w:sz="0" w:space="0" w:color="auto"/>
      </w:divBdr>
      <w:divsChild>
        <w:div w:id="54165325">
          <w:marLeft w:val="0"/>
          <w:marRight w:val="0"/>
          <w:marTop w:val="0"/>
          <w:marBottom w:val="0"/>
          <w:divBdr>
            <w:top w:val="none" w:sz="0" w:space="0" w:color="auto"/>
            <w:left w:val="none" w:sz="0" w:space="0" w:color="auto"/>
            <w:bottom w:val="none" w:sz="0" w:space="0" w:color="auto"/>
            <w:right w:val="none" w:sz="0" w:space="0" w:color="auto"/>
          </w:divBdr>
        </w:div>
        <w:div w:id="778063040">
          <w:marLeft w:val="0"/>
          <w:marRight w:val="0"/>
          <w:marTop w:val="0"/>
          <w:marBottom w:val="0"/>
          <w:divBdr>
            <w:top w:val="none" w:sz="0" w:space="0" w:color="auto"/>
            <w:left w:val="none" w:sz="0" w:space="0" w:color="auto"/>
            <w:bottom w:val="none" w:sz="0" w:space="0" w:color="auto"/>
            <w:right w:val="none" w:sz="0" w:space="0" w:color="auto"/>
          </w:divBdr>
        </w:div>
        <w:div w:id="1455565542">
          <w:marLeft w:val="0"/>
          <w:marRight w:val="0"/>
          <w:marTop w:val="0"/>
          <w:marBottom w:val="0"/>
          <w:divBdr>
            <w:top w:val="none" w:sz="0" w:space="0" w:color="auto"/>
            <w:left w:val="none" w:sz="0" w:space="0" w:color="auto"/>
            <w:bottom w:val="none" w:sz="0" w:space="0" w:color="auto"/>
            <w:right w:val="none" w:sz="0" w:space="0" w:color="auto"/>
          </w:divBdr>
        </w:div>
        <w:div w:id="1467579904">
          <w:marLeft w:val="0"/>
          <w:marRight w:val="0"/>
          <w:marTop w:val="0"/>
          <w:marBottom w:val="0"/>
          <w:divBdr>
            <w:top w:val="none" w:sz="0" w:space="0" w:color="auto"/>
            <w:left w:val="none" w:sz="0" w:space="0" w:color="auto"/>
            <w:bottom w:val="none" w:sz="0" w:space="0" w:color="auto"/>
            <w:right w:val="none" w:sz="0" w:space="0" w:color="auto"/>
          </w:divBdr>
        </w:div>
        <w:div w:id="1713338570">
          <w:marLeft w:val="0"/>
          <w:marRight w:val="0"/>
          <w:marTop w:val="0"/>
          <w:marBottom w:val="0"/>
          <w:divBdr>
            <w:top w:val="none" w:sz="0" w:space="0" w:color="auto"/>
            <w:left w:val="none" w:sz="0" w:space="0" w:color="auto"/>
            <w:bottom w:val="none" w:sz="0" w:space="0" w:color="auto"/>
            <w:right w:val="none" w:sz="0" w:space="0" w:color="auto"/>
          </w:divBdr>
        </w:div>
      </w:divsChild>
    </w:div>
    <w:div w:id="19320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t.nz/act/public/2015/0070/latest/DLM5976660.html" TargetMode="External"/><Relationship Id="rId18" Type="http://schemas.openxmlformats.org/officeDocument/2006/relationships/hyperlink" Target="https://www.building.govt.nz/assets/Uploads/getting-started/seismic-risk-guidance-for-buildings.pdf" TargetMode="External"/><Relationship Id="rId26" Type="http://schemas.openxmlformats.org/officeDocument/2006/relationships/hyperlink" Target="https://www.building.govt.nz/building-code-compliance/b-stability/b1-structure/seismic-assessment-existing-buildings/" TargetMode="External"/><Relationship Id="rId3" Type="http://schemas.openxmlformats.org/officeDocument/2006/relationships/customXml" Target="../customXml/item3.xml"/><Relationship Id="rId21" Type="http://schemas.openxmlformats.org/officeDocument/2006/relationships/hyperlink" Target="https://www.building.govt.nz/assets/Uploads/getting-started/seismic-risk-guidance-for-buildings.pdf" TargetMode="External"/><Relationship Id="rId7" Type="http://schemas.openxmlformats.org/officeDocument/2006/relationships/settings" Target="settings.xml"/><Relationship Id="rId12" Type="http://schemas.openxmlformats.org/officeDocument/2006/relationships/hyperlink" Target="https://www.legislation.govt.nz/act/public/2016/0022/22.0/DLM5616102.html" TargetMode="External"/><Relationship Id="rId17" Type="http://schemas.openxmlformats.org/officeDocument/2006/relationships/hyperlink" Target="https://www.building.govt.nz/building-code-compliance/b-stability/b1-structure/seismic-assessment-existing-buildings/" TargetMode="External"/><Relationship Id="rId25" Type="http://schemas.openxmlformats.org/officeDocument/2006/relationships/hyperlink" Target="https://www.building.govt.nz/building-code-compliance/b-stability/b1-structure/seismic-assessment-existing-buildings/"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building.govt.nz/building-code-compliance/b-stability/b1-structure/seismic-assessment-existing-buildings/" TargetMode="External"/><Relationship Id="rId20" Type="http://schemas.openxmlformats.org/officeDocument/2006/relationships/hyperlink" Target="https://www.legislation.govt.nz/act/public/2015/0070/latest/DLM5976660.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2004/0072/latest/DLM306036.html" TargetMode="External"/><Relationship Id="rId24" Type="http://schemas.openxmlformats.org/officeDocument/2006/relationships/hyperlink" Target="https://www.legislation.govt.nz/act/public/2004/0072/latest/DLM306036.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govt.nz/act/public/2004/0072/latest/DLM7340926.html" TargetMode="External"/><Relationship Id="rId23" Type="http://schemas.openxmlformats.org/officeDocument/2006/relationships/hyperlink" Target="https://www.building.govt.nz/building-code-compliance/b-stability/b1-structure/seismic-assessment-existing-buildings/" TargetMode="External"/><Relationship Id="rId28" Type="http://schemas.openxmlformats.org/officeDocument/2006/relationships/hyperlink" Target="https://www.legislation.govt.nz/act/public/2015/0070/latest/DLM5976660.html" TargetMode="External"/><Relationship Id="rId10" Type="http://schemas.openxmlformats.org/officeDocument/2006/relationships/endnotes" Target="endnotes.xml"/><Relationship Id="rId19" Type="http://schemas.openxmlformats.org/officeDocument/2006/relationships/hyperlink" Target="https://www.legislation.govt.nz/act/public/2004/0072/latest/DLM306036.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ndards.govt.nz/shop/asnzs-1170-02002/" TargetMode="External"/><Relationship Id="rId22" Type="http://schemas.openxmlformats.org/officeDocument/2006/relationships/hyperlink" Target="https://www.building.govt.nz/assets/Uploads/getting-started/seismic-risk-guidance-for-buildings.pdf" TargetMode="External"/><Relationship Id="rId27" Type="http://schemas.openxmlformats.org/officeDocument/2006/relationships/hyperlink" Target="https://worksafe.govt.nz/dmsdocument/3678-policy-clarification-dealing-with-earthquake-related-health-and-safety-risks"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hard\OneDrive%20-%20The%20Ministry%20of%20Health\Documents\Custom%20Office%20Templates\HNZ%20Policy%20Template.dotx" TargetMode="External"/></Relationships>
</file>

<file path=word/documenttasks/documenttasks1.xml><?xml version="1.0" encoding="utf-8"?>
<t:Tasks xmlns:t="http://schemas.microsoft.com/office/tasks/2019/documenttasks" xmlns:oel="http://schemas.microsoft.com/office/2019/extlst">
  <t:Task id="{CB33E510-7F54-4C8A-BEB5-A2197A039857}">
    <t:Anchor>
      <t:Comment id="336031792"/>
    </t:Anchor>
    <t:History>
      <t:Event id="{29A11DF1-9468-492F-9AEB-EB717672041C}" time="2022-03-14T21:07:29.083Z">
        <t:Attribution userId="S::sasha.wood@health.govt.nz::144f41e5-a623-4b94-9f0c-74bfa1b8ef14" userProvider="AD" userName="Sasha Wood"/>
        <t:Anchor>
          <t:Comment id="424715302"/>
        </t:Anchor>
        <t:Create/>
      </t:Event>
      <t:Event id="{62B7D344-075C-4C0D-B066-CA390D84698A}" time="2022-03-14T21:07:29.083Z">
        <t:Attribution userId="S::sasha.wood@health.govt.nz::144f41e5-a623-4b94-9f0c-74bfa1b8ef14" userProvider="AD" userName="Sasha Wood"/>
        <t:Anchor>
          <t:Comment id="424715302"/>
        </t:Anchor>
        <t:Assign userId="S::Meryl.Fraser@health.govt.nz::589ab0b1-26ed-4d66-836b-b573e751b710" userProvider="AD" userName="Meryl Fraser"/>
      </t:Event>
      <t:Event id="{D69C5949-F0A1-4E9E-8D01-512B9D16FC10}" time="2022-03-14T21:07:29.083Z">
        <t:Attribution userId="S::sasha.wood@health.govt.nz::144f41e5-a623-4b94-9f0c-74bfa1b8ef14" userProvider="AD" userName="Sasha Wood"/>
        <t:Anchor>
          <t:Comment id="424715302"/>
        </t:Anchor>
        <t:SetTitle title="@Meryl Fraser if appropriate - is there something that MHA would like here which can be used on both policies and reflect sharing knowledge?"/>
      </t:Event>
    </t:History>
  </t:Task>
  <t:Task id="{5462D50B-9605-483F-B687-0085B212D4A8}">
    <t:Anchor>
      <t:Comment id="1339810833"/>
    </t:Anchor>
    <t:History>
      <t:Event id="{BA5C36E4-696A-43A3-B340-94AE0D5FF5A5}" time="2022-03-14T23:57:13Z">
        <t:Attribution userId="S::sasha.wood@health.govt.nz::144f41e5-a623-4b94-9f0c-74bfa1b8ef14" userProvider="AD" userName="Sasha Wood"/>
        <t:Anchor>
          <t:Comment id="70686293"/>
        </t:Anchor>
        <t:Create/>
      </t:Event>
      <t:Event id="{10DF34FC-0D0D-4E55-8FD5-CBC4D518DF02}" time="2022-03-14T23:57:13Z">
        <t:Attribution userId="S::sasha.wood@health.govt.nz::144f41e5-a623-4b94-9f0c-74bfa1b8ef14" userProvider="AD" userName="Sasha Wood"/>
        <t:Anchor>
          <t:Comment id="70686293"/>
        </t:Anchor>
        <t:Assign userId="S::Meryl.Fraser@health.govt.nz::589ab0b1-26ed-4d66-836b-b573e751b710" userProvider="AD" userName="Meryl Fraser"/>
      </t:Event>
      <t:Event id="{D7C5867B-CBB6-4695-81F9-C6B1CC13BB91}" time="2022-03-14T23:57:13Z">
        <t:Attribution userId="S::sasha.wood@health.govt.nz::144f41e5-a623-4b94-9f0c-74bfa1b8ef14" userProvider="AD" userName="Sasha Wood"/>
        <t:Anchor>
          <t:Comment id="70686293"/>
        </t:Anchor>
        <t:SetTitle title="@Meryl Fraser sugges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dab273f-52b8-4088-8f06-bf0465176c98">
      <UserInfo>
        <DisplayName>Jo Strachan-Hope</DisplayName>
        <AccountId>25</AccountId>
        <AccountType/>
      </UserInfo>
      <UserInfo>
        <DisplayName>Bhama Rajiv Kumar</DisplayName>
        <AccountId>1588</AccountId>
        <AccountType/>
      </UserInfo>
      <UserInfo>
        <DisplayName>Lisa Ryan</DisplayName>
        <AccountId>2267</AccountId>
        <AccountType/>
      </UserInfo>
      <UserInfo>
        <DisplayName>Gavin McCleave</DisplayName>
        <AccountId>71</AccountId>
        <AccountType/>
      </UserInfo>
      <UserInfo>
        <DisplayName>Infrastructure Investment Group</DisplayName>
        <AccountId>52</AccountId>
        <AccountType/>
      </UserInfo>
      <UserInfo>
        <DisplayName>Selma Kafedzic</DisplayName>
        <AccountId>1287</AccountId>
        <AccountType/>
      </UserInfo>
      <UserInfo>
        <DisplayName>Todd Collings</DisplayName>
        <AccountId>88</AccountId>
        <AccountType/>
      </UserInfo>
    </SharedWithUsers>
    <_activity xmlns="18689d06-b1fb-4cea-b86b-6b581430718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4473D0A93C434D8A8751E7A623E1B6" ma:contentTypeVersion="16" ma:contentTypeDescription="Create a new document." ma:contentTypeScope="" ma:versionID="de9a1e6c7e1b2c10380b8fd8a5b5a065">
  <xsd:schema xmlns:xsd="http://www.w3.org/2001/XMLSchema" xmlns:xs="http://www.w3.org/2001/XMLSchema" xmlns:p="http://schemas.microsoft.com/office/2006/metadata/properties" xmlns:ns3="18689d06-b1fb-4cea-b86b-6b5814307185" xmlns:ns4="9dab273f-52b8-4088-8f06-bf0465176c98" targetNamespace="http://schemas.microsoft.com/office/2006/metadata/properties" ma:root="true" ma:fieldsID="2e77b5cb70ddaea118e613f468d266b8" ns3:_="" ns4:_="">
    <xsd:import namespace="18689d06-b1fb-4cea-b86b-6b5814307185"/>
    <xsd:import namespace="9dab273f-52b8-4088-8f06-bf0465176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SystemTag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89d06-b1fb-4cea-b86b-6b5814307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ab273f-52b8-4088-8f06-bf0465176c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0A2B5-F677-4ACD-BC4A-59D6BF0BA409}">
  <ds:schemaRefs>
    <ds:schemaRef ds:uri="http://schemas.microsoft.com/sharepoint/v3/contenttype/forms"/>
  </ds:schemaRefs>
</ds:datastoreItem>
</file>

<file path=customXml/itemProps2.xml><?xml version="1.0" encoding="utf-8"?>
<ds:datastoreItem xmlns:ds="http://schemas.openxmlformats.org/officeDocument/2006/customXml" ds:itemID="{A9F3AA4F-CAC7-4D79-9A0E-A8372BBACD0B}">
  <ds:schemaRefs>
    <ds:schemaRef ds:uri="http://schemas.microsoft.com/office/2006/metadata/properties"/>
    <ds:schemaRef ds:uri="http://schemas.microsoft.com/office/2006/documentManagement/types"/>
    <ds:schemaRef ds:uri="http://purl.org/dc/elements/1.1/"/>
    <ds:schemaRef ds:uri="http://purl.org/dc/dcmitype/"/>
    <ds:schemaRef ds:uri="18689d06-b1fb-4cea-b86b-6b5814307185"/>
    <ds:schemaRef ds:uri="http://purl.org/dc/terms/"/>
    <ds:schemaRef ds:uri="http://schemas.microsoft.com/office/infopath/2007/PartnerControls"/>
    <ds:schemaRef ds:uri="http://schemas.openxmlformats.org/package/2006/metadata/core-properties"/>
    <ds:schemaRef ds:uri="9dab273f-52b8-4088-8f06-bf0465176c98"/>
    <ds:schemaRef ds:uri="http://www.w3.org/XML/1998/namespace"/>
  </ds:schemaRefs>
</ds:datastoreItem>
</file>

<file path=customXml/itemProps3.xml><?xml version="1.0" encoding="utf-8"?>
<ds:datastoreItem xmlns:ds="http://schemas.openxmlformats.org/officeDocument/2006/customXml" ds:itemID="{F65711C5-4B37-4748-86D3-566B4625D81D}">
  <ds:schemaRefs>
    <ds:schemaRef ds:uri="http://schemas.openxmlformats.org/officeDocument/2006/bibliography"/>
  </ds:schemaRefs>
</ds:datastoreItem>
</file>

<file path=customXml/itemProps4.xml><?xml version="1.0" encoding="utf-8"?>
<ds:datastoreItem xmlns:ds="http://schemas.openxmlformats.org/officeDocument/2006/customXml" ds:itemID="{BA17DC3F-1AC5-48E8-929B-3036DC7DF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89d06-b1fb-4cea-b86b-6b5814307185"/>
    <ds:schemaRef ds:uri="9dab273f-52b8-4088-8f06-bf0465176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HNZ Policy Template</Template>
  <TotalTime>0</TotalTime>
  <Pages>8</Pages>
  <Words>3147</Words>
  <Characters>17944</Characters>
  <Application>Microsoft Office Word</Application>
  <DocSecurity>0</DocSecurity>
  <Lines>149</Lines>
  <Paragraphs>42</Paragraphs>
  <ScaleCrop>false</ScaleCrop>
  <Company>Ministry of Health</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Richards</dc:creator>
  <cp:keywords/>
  <dc:description/>
  <cp:lastModifiedBy>Lisa Ryan</cp:lastModifiedBy>
  <cp:revision>2</cp:revision>
  <cp:lastPrinted>2023-12-04T21:57:00Z</cp:lastPrinted>
  <dcterms:created xsi:type="dcterms:W3CDTF">2024-02-08T04:50:00Z</dcterms:created>
  <dcterms:modified xsi:type="dcterms:W3CDTF">2024-02-08T04:50:00Z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0x010100504473D0A93C434D8A8751E7A623E1B6</vt:lpwstr>
  </property>
  <property fmtid="{D5CDD505-2E9C-101B-9397-08002B2CF9AE}" pid="3" name="MediaServiceImageTags">
    <vt:lpwstr/>
  </property>
  <property fmtid="{D5CDD505-2E9C-101B-9397-08002B2CF9AE}" pid="4" name="MoH_x0020_Business_x0020_Function">
    <vt:lpwstr/>
  </property>
  <property fmtid="{D5CDD505-2E9C-101B-9397-08002B2CF9AE}" pid="5" name="d65eeeaccac147a2976cca470bd7ff68">
    <vt:lpwstr/>
  </property>
  <property fmtid="{D5CDD505-2E9C-101B-9397-08002B2CF9AE}" pid="6" name="MoH Business Function">
    <vt:lpwstr/>
  </property>
</Properties>
</file>